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42B604CF" w:rsidR="006255E7" w:rsidRPr="003A0B18" w:rsidRDefault="006255E7" w:rsidP="00DB6992">
      <w:pPr>
        <w:pStyle w:val="3GPPHeader"/>
        <w:spacing w:after="0"/>
        <w:rPr>
          <w:sz w:val="32"/>
          <w:szCs w:val="32"/>
        </w:rPr>
      </w:pPr>
      <w:r w:rsidRPr="00A74BAE">
        <w:t>3GPP TSG-RAN WG2</w:t>
      </w:r>
      <w:r w:rsidR="000C2B16" w:rsidRPr="00A74BAE">
        <w:t xml:space="preserve"> Meeting</w:t>
      </w:r>
      <w:r w:rsidRPr="00A74BAE">
        <w:t xml:space="preserve"> #</w:t>
      </w:r>
      <w:r w:rsidR="00494192" w:rsidRPr="00A74BAE">
        <w:t>13</w:t>
      </w:r>
      <w:r w:rsidR="00B54E77" w:rsidRPr="00A74BAE">
        <w:t>2</w:t>
      </w:r>
      <w:r w:rsidRPr="00A74BAE">
        <w:tab/>
      </w:r>
      <w:r w:rsidRPr="003A0B18">
        <w:rPr>
          <w:szCs w:val="24"/>
        </w:rPr>
        <w:t>R2-</w:t>
      </w:r>
      <w:r w:rsidR="00120B7F" w:rsidRPr="003A0B18">
        <w:rPr>
          <w:szCs w:val="24"/>
        </w:rPr>
        <w:t>2</w:t>
      </w:r>
      <w:r w:rsidR="00E56958" w:rsidRPr="003A0B18">
        <w:rPr>
          <w:szCs w:val="24"/>
        </w:rPr>
        <w:t>5</w:t>
      </w:r>
      <w:r w:rsidR="00A74BAE" w:rsidRPr="003A0B18">
        <w:rPr>
          <w:szCs w:val="24"/>
        </w:rPr>
        <w:t>08112</w:t>
      </w:r>
    </w:p>
    <w:p w14:paraId="5104E0A7" w14:textId="0FB0A691" w:rsidR="006255E7" w:rsidRPr="00CF0FF8" w:rsidRDefault="00B54E77" w:rsidP="00F529AE">
      <w:pPr>
        <w:pStyle w:val="CRCoverPage"/>
        <w:jc w:val="both"/>
        <w:outlineLvl w:val="0"/>
        <w:rPr>
          <w:b/>
          <w:noProof/>
          <w:sz w:val="24"/>
        </w:rPr>
      </w:pPr>
      <w:r>
        <w:rPr>
          <w:b/>
          <w:noProof/>
          <w:sz w:val="24"/>
        </w:rPr>
        <w:t>Dallas</w:t>
      </w:r>
      <w:r w:rsidR="006255E7" w:rsidRPr="00CF0FF8">
        <w:rPr>
          <w:b/>
          <w:noProof/>
          <w:sz w:val="24"/>
        </w:rPr>
        <w:t xml:space="preserve">, </w:t>
      </w:r>
      <w:r>
        <w:rPr>
          <w:b/>
          <w:noProof/>
          <w:sz w:val="24"/>
        </w:rPr>
        <w:t>US</w:t>
      </w:r>
      <w:r w:rsidR="00326A43">
        <w:rPr>
          <w:b/>
          <w:noProof/>
          <w:sz w:val="24"/>
        </w:rPr>
        <w:t>A</w:t>
      </w:r>
      <w:r w:rsidR="006255E7" w:rsidRPr="00CF0FF8">
        <w:rPr>
          <w:b/>
          <w:noProof/>
          <w:sz w:val="24"/>
        </w:rPr>
        <w:t xml:space="preserve">, </w:t>
      </w:r>
      <w:r w:rsidR="00144E71" w:rsidRPr="00CF0FF8">
        <w:rPr>
          <w:b/>
          <w:noProof/>
          <w:sz w:val="24"/>
        </w:rPr>
        <w:t>1</w:t>
      </w:r>
      <w:r>
        <w:rPr>
          <w:b/>
          <w:noProof/>
          <w:sz w:val="24"/>
        </w:rPr>
        <w:t>7</w:t>
      </w:r>
      <w:r w:rsidR="001540E1" w:rsidRPr="00CF0FF8">
        <w:rPr>
          <w:b/>
          <w:noProof/>
          <w:sz w:val="24"/>
        </w:rPr>
        <w:t>-</w:t>
      </w:r>
      <w:r>
        <w:rPr>
          <w:b/>
          <w:noProof/>
          <w:sz w:val="24"/>
        </w:rPr>
        <w:t>21</w:t>
      </w:r>
      <w:r w:rsidR="00E455C2" w:rsidRPr="00CF0FF8">
        <w:rPr>
          <w:b/>
          <w:noProof/>
          <w:sz w:val="24"/>
        </w:rPr>
        <w:t xml:space="preserve"> </w:t>
      </w:r>
      <w:r>
        <w:rPr>
          <w:b/>
          <w:noProof/>
          <w:sz w:val="24"/>
        </w:rPr>
        <w:t>November</w:t>
      </w:r>
      <w:r w:rsidR="00E455C2" w:rsidRPr="00CF0FF8">
        <w:rPr>
          <w:b/>
          <w:noProof/>
          <w:sz w:val="24"/>
        </w:rPr>
        <w:t xml:space="preserve"> 202</w:t>
      </w:r>
      <w:r w:rsidR="00DC187F" w:rsidRPr="00CF0FF8">
        <w:rPr>
          <w:b/>
          <w:noProof/>
          <w:sz w:val="24"/>
        </w:rPr>
        <w:t>5</w:t>
      </w:r>
    </w:p>
    <w:p w14:paraId="432B3E09" w14:textId="77777777" w:rsidR="00E90E49" w:rsidRPr="00CF0FF8" w:rsidRDefault="00E90E49" w:rsidP="0060035A">
      <w:pPr>
        <w:pStyle w:val="3GPPHeader"/>
      </w:pPr>
    </w:p>
    <w:p w14:paraId="6CF7B12A" w14:textId="4A54DA4F" w:rsidR="00E90E49" w:rsidRPr="00CF0FF8" w:rsidRDefault="00E90E49" w:rsidP="0060035A">
      <w:pPr>
        <w:pStyle w:val="3GPPHeader"/>
      </w:pPr>
      <w:r w:rsidRPr="00CF0FF8">
        <w:t>Agenda Item:</w:t>
      </w:r>
      <w:r w:rsidRPr="00CF0FF8">
        <w:tab/>
      </w:r>
      <w:r w:rsidR="00803DBC">
        <w:t>10.3.2.2</w:t>
      </w:r>
    </w:p>
    <w:p w14:paraId="7554868D" w14:textId="1A5C2288" w:rsidR="00E90E49" w:rsidRPr="00CF0FF8" w:rsidRDefault="003D3C45" w:rsidP="0060035A">
      <w:pPr>
        <w:pStyle w:val="3GPPHeader"/>
      </w:pPr>
      <w:r w:rsidRPr="00CF0FF8">
        <w:t>Source:</w:t>
      </w:r>
      <w:r w:rsidR="00E90E49" w:rsidRPr="00CF0FF8">
        <w:tab/>
      </w:r>
      <w:r w:rsidR="00E56958" w:rsidRPr="00CF0FF8">
        <w:t>MediaTek Inc.</w:t>
      </w:r>
    </w:p>
    <w:p w14:paraId="46BAB773" w14:textId="3EE4F7C9" w:rsidR="00E90E49" w:rsidRPr="00CF0FF8" w:rsidRDefault="003D3C45" w:rsidP="0060035A">
      <w:pPr>
        <w:pStyle w:val="3GPPHeader"/>
      </w:pPr>
      <w:r w:rsidRPr="002C7ACC">
        <w:t>Title:</w:t>
      </w:r>
      <w:r w:rsidR="00E90E49" w:rsidRPr="002C7ACC">
        <w:tab/>
      </w:r>
      <w:r w:rsidR="0030448F">
        <w:t>RRC signalling and ASN.1</w:t>
      </w:r>
      <w:r w:rsidR="00623746">
        <w:t xml:space="preserve"> </w:t>
      </w:r>
      <w:r w:rsidR="00F55548">
        <w:t>a</w:t>
      </w:r>
      <w:r w:rsidR="00623746">
        <w:t>spects</w:t>
      </w:r>
    </w:p>
    <w:p w14:paraId="54F66550" w14:textId="0E3D2CBF" w:rsidR="00E90E49" w:rsidRPr="00CF0FF8" w:rsidRDefault="00E90E49" w:rsidP="0060035A">
      <w:pPr>
        <w:pStyle w:val="3GPPHeader"/>
      </w:pPr>
      <w:r w:rsidRPr="00CF0FF8">
        <w:t>Document for:</w:t>
      </w:r>
      <w:r w:rsidRPr="00CF0FF8">
        <w:tab/>
      </w:r>
      <w:r w:rsidR="003B7B8E" w:rsidRPr="00CF0FF8">
        <w:t>Discussion</w:t>
      </w:r>
      <w:r w:rsidR="00494192" w:rsidRPr="00CF0FF8">
        <w:t>, decision</w:t>
      </w:r>
    </w:p>
    <w:p w14:paraId="0B9999BD" w14:textId="77777777" w:rsidR="00E90E49" w:rsidRPr="00CF0FF8" w:rsidRDefault="00230D18" w:rsidP="00F529AE">
      <w:pPr>
        <w:pStyle w:val="Heading1"/>
        <w:jc w:val="both"/>
      </w:pPr>
      <w:r w:rsidRPr="00CF0FF8">
        <w:t>1</w:t>
      </w:r>
      <w:r w:rsidRPr="00CF0FF8">
        <w:tab/>
      </w:r>
      <w:r w:rsidR="00E90E49" w:rsidRPr="00CF0FF8">
        <w:t>Introduction</w:t>
      </w:r>
    </w:p>
    <w:p w14:paraId="785F7D62" w14:textId="473E7A1C" w:rsidR="000664DB" w:rsidRDefault="000664DB" w:rsidP="006642C4">
      <w:pPr>
        <w:rPr>
          <w:highlight w:val="green"/>
        </w:rPr>
      </w:pPr>
      <w:r w:rsidRPr="003A0B18">
        <w:t>In RAN2</w:t>
      </w:r>
      <w:r>
        <w:t>#131bis, RAN2 agreed to study the UE configuration structure for 6G RRC as well as how to reliably and unambiguously configure the UE while keeping the RRC signalling size small</w:t>
      </w:r>
      <w:r w:rsidR="003423BA">
        <w:t>. In addition, RAN2 agreed to study how to improve the readability of ASN.1.</w:t>
      </w:r>
      <w:r>
        <w:t xml:space="preserve"> </w:t>
      </w:r>
      <w:r>
        <w:fldChar w:fldCharType="begin"/>
      </w:r>
      <w:r>
        <w:instrText xml:space="preserve"> REF _Ref212017560 \r \h </w:instrText>
      </w:r>
      <w:r>
        <w:fldChar w:fldCharType="separate"/>
      </w:r>
      <w:r w:rsidR="003A0B18">
        <w:t>[1]</w:t>
      </w:r>
      <w:r>
        <w:fldChar w:fldCharType="end"/>
      </w:r>
      <w:r>
        <w:t xml:space="preserve"> </w:t>
      </w:r>
    </w:p>
    <w:p w14:paraId="58BFBDB4" w14:textId="7F193F4B" w:rsidR="006642C4" w:rsidRDefault="000664DB" w:rsidP="006642C4">
      <w:r w:rsidRPr="000664DB">
        <w:rPr>
          <w:noProof/>
        </w:rPr>
        <w:drawing>
          <wp:inline distT="0" distB="0" distL="0" distR="0" wp14:anchorId="63306334" wp14:editId="33A89DBA">
            <wp:extent cx="5349600" cy="1206000"/>
            <wp:effectExtent l="0" t="0" r="3810" b="0"/>
            <wp:docPr id="8913163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316381" name=""/>
                    <pic:cNvPicPr/>
                  </pic:nvPicPr>
                  <pic:blipFill>
                    <a:blip r:embed="rId11"/>
                    <a:stretch>
                      <a:fillRect/>
                    </a:stretch>
                  </pic:blipFill>
                  <pic:spPr>
                    <a:xfrm>
                      <a:off x="0" y="0"/>
                      <a:ext cx="5349600" cy="1206000"/>
                    </a:xfrm>
                    <a:prstGeom prst="rect">
                      <a:avLst/>
                    </a:prstGeom>
                  </pic:spPr>
                </pic:pic>
              </a:graphicData>
            </a:graphic>
          </wp:inline>
        </w:drawing>
      </w:r>
    </w:p>
    <w:p w14:paraId="39FBC1EE" w14:textId="01D69B18" w:rsidR="000664DB" w:rsidRPr="00CF0FF8" w:rsidRDefault="000664DB" w:rsidP="006642C4">
      <w:r>
        <w:t xml:space="preserve">In this contribution, we provide </w:t>
      </w:r>
      <w:r w:rsidR="00AB288C">
        <w:t>analysis of and proposals for</w:t>
      </w:r>
      <w:r>
        <w:t xml:space="preserve"> improve</w:t>
      </w:r>
      <w:r w:rsidR="00AB288C">
        <w:t>d</w:t>
      </w:r>
      <w:r>
        <w:t>/simplif</w:t>
      </w:r>
      <w:r w:rsidR="00AB288C">
        <w:t>ied</w:t>
      </w:r>
      <w:r>
        <w:t xml:space="preserve"> the UE configuration structure (Chapter 2.1), </w:t>
      </w:r>
      <w:r w:rsidR="00AB288C">
        <w:t xml:space="preserve">delta signalling (Chapter 2.2), </w:t>
      </w:r>
      <w:r w:rsidR="00181096">
        <w:t>ASN.1 ambiguities</w:t>
      </w:r>
      <w:r>
        <w:t xml:space="preserve"> (Chapter 2.</w:t>
      </w:r>
      <w:r w:rsidR="00AB288C">
        <w:t>3</w:t>
      </w:r>
      <w:r>
        <w:t xml:space="preserve">), and </w:t>
      </w:r>
      <w:r w:rsidR="00AB288C">
        <w:t>readability of ASN.1 (</w:t>
      </w:r>
      <w:r>
        <w:t>Chapter 2.</w:t>
      </w:r>
      <w:r w:rsidR="00AB288C">
        <w:t>4</w:t>
      </w:r>
      <w:r>
        <w:t>).</w:t>
      </w:r>
    </w:p>
    <w:p w14:paraId="2C96BF15" w14:textId="7246A635" w:rsidR="00645D63" w:rsidRPr="00CF0FF8" w:rsidRDefault="00230D18" w:rsidP="001177BE">
      <w:pPr>
        <w:pStyle w:val="Heading1"/>
        <w:jc w:val="both"/>
      </w:pPr>
      <w:bookmarkStart w:id="0" w:name="_Ref178064866"/>
      <w:r w:rsidRPr="00CF0FF8">
        <w:t>2</w:t>
      </w:r>
      <w:r w:rsidRPr="00CF0FF8">
        <w:tab/>
      </w:r>
      <w:r w:rsidR="004000E8" w:rsidRPr="00CF0FF8">
        <w:t>Discussion</w:t>
      </w:r>
      <w:bookmarkEnd w:id="0"/>
    </w:p>
    <w:p w14:paraId="1E67439D" w14:textId="7BD07D4D" w:rsidR="003D2A1A" w:rsidRPr="00CF0FF8" w:rsidRDefault="00317785" w:rsidP="003A0B18">
      <w:pPr>
        <w:pStyle w:val="Heading2"/>
        <w:spacing w:before="0"/>
      </w:pPr>
      <w:r w:rsidRPr="00CF0FF8">
        <w:t>2.1</w:t>
      </w:r>
      <w:r w:rsidR="00364558">
        <w:tab/>
        <w:t>UE Configuration Structure</w:t>
      </w:r>
    </w:p>
    <w:p w14:paraId="2DA0F846" w14:textId="4A81E481" w:rsidR="004A27E2" w:rsidRDefault="002D3D9B" w:rsidP="004A27E2">
      <w:r>
        <w:t>I</w:t>
      </w:r>
      <w:r w:rsidR="004A27E2">
        <w:t xml:space="preserve">n RAN2#131bis, we provided a list of characteristics which make the 5G UE configuration structure complex (R2-2506958) </w:t>
      </w:r>
      <w:r w:rsidR="004A27E2">
        <w:fldChar w:fldCharType="begin"/>
      </w:r>
      <w:r w:rsidR="004A27E2">
        <w:instrText xml:space="preserve"> REF _Ref212032611 \r \h </w:instrText>
      </w:r>
      <w:r w:rsidR="004A27E2">
        <w:fldChar w:fldCharType="separate"/>
      </w:r>
      <w:r w:rsidR="003A0B18">
        <w:t>[2]</w:t>
      </w:r>
      <w:r w:rsidR="004A27E2">
        <w:fldChar w:fldCharType="end"/>
      </w:r>
      <w:r w:rsidR="004A27E2">
        <w:t>:</w:t>
      </w:r>
    </w:p>
    <w:p w14:paraId="7CEC1C56" w14:textId="05C26F24" w:rsidR="004A27E2" w:rsidRDefault="004A27E2" w:rsidP="004A27E2">
      <w:r w:rsidRPr="004A27E2">
        <w:rPr>
          <w:noProof/>
          <w:bdr w:val="single" w:sz="8" w:space="0" w:color="auto"/>
        </w:rPr>
        <w:drawing>
          <wp:inline distT="0" distB="0" distL="0" distR="0" wp14:anchorId="0F2E7AFF" wp14:editId="4F95EBA4">
            <wp:extent cx="5932800" cy="946800"/>
            <wp:effectExtent l="0" t="0" r="0" b="5715"/>
            <wp:docPr id="8888129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812934" name=""/>
                    <pic:cNvPicPr/>
                  </pic:nvPicPr>
                  <pic:blipFill>
                    <a:blip r:embed="rId12"/>
                    <a:stretch>
                      <a:fillRect/>
                    </a:stretch>
                  </pic:blipFill>
                  <pic:spPr>
                    <a:xfrm>
                      <a:off x="0" y="0"/>
                      <a:ext cx="5932800" cy="946800"/>
                    </a:xfrm>
                    <a:prstGeom prst="rect">
                      <a:avLst/>
                    </a:prstGeom>
                  </pic:spPr>
                </pic:pic>
              </a:graphicData>
            </a:graphic>
          </wp:inline>
        </w:drawing>
      </w:r>
    </w:p>
    <w:p w14:paraId="20A65023" w14:textId="46D770BD" w:rsidR="004A27E2" w:rsidRDefault="00483FA9" w:rsidP="004A27E2">
      <w:pPr>
        <w:rPr>
          <w:lang w:val="x-none"/>
        </w:rPr>
      </w:pPr>
      <w:r>
        <w:rPr>
          <w:lang w:val="x-none"/>
        </w:rPr>
        <w:t>In this section</w:t>
      </w:r>
      <w:r w:rsidR="004A27E2">
        <w:rPr>
          <w:lang w:val="x-none"/>
        </w:rPr>
        <w:t>, we further discuss the 3rd bullet point above – the concept of common and dedicated configurations.</w:t>
      </w:r>
    </w:p>
    <w:p w14:paraId="157399D0" w14:textId="373604C3" w:rsidR="00803DBC" w:rsidRDefault="00803DBC" w:rsidP="006E6B15">
      <w:pPr>
        <w:rPr>
          <w:lang w:val="x-none"/>
        </w:rPr>
      </w:pPr>
      <w:r>
        <w:rPr>
          <w:lang w:val="x-none"/>
        </w:rPr>
        <w:t>In 5G, the UE configuration</w:t>
      </w:r>
      <w:r w:rsidR="006E6B15">
        <w:rPr>
          <w:lang w:val="x-none"/>
        </w:rPr>
        <w:t xml:space="preserve"> </w:t>
      </w:r>
      <w:r w:rsidR="00936820">
        <w:rPr>
          <w:lang w:val="x-none"/>
        </w:rPr>
        <w:t xml:space="preserve">for </w:t>
      </w:r>
      <w:r>
        <w:rPr>
          <w:lang w:val="x-none"/>
        </w:rPr>
        <w:t>BWPs and PDCCH/PDSCH/PUCCH/PUSCH physical channels</w:t>
      </w:r>
      <w:r w:rsidR="006E6B15">
        <w:rPr>
          <w:lang w:val="x-none"/>
        </w:rPr>
        <w:t xml:space="preserve"> of a serving cell</w:t>
      </w:r>
      <w:r>
        <w:rPr>
          <w:lang w:val="x-none"/>
        </w:rPr>
        <w:t xml:space="preserve"> is split into common and dedicated configuration</w:t>
      </w:r>
      <w:r w:rsidR="006E6B15">
        <w:rPr>
          <w:lang w:val="x-none"/>
        </w:rPr>
        <w:t xml:space="preserve"> parts</w:t>
      </w:r>
      <w:r>
        <w:rPr>
          <w:lang w:val="x-none"/>
        </w:rPr>
        <w:t xml:space="preserve">, which are signalled to the UE in separate </w:t>
      </w:r>
      <w:r w:rsidR="00725112">
        <w:rPr>
          <w:lang w:val="x-none"/>
        </w:rPr>
        <w:t>fields within RRC signalling</w:t>
      </w:r>
      <w:r>
        <w:rPr>
          <w:lang w:val="x-none"/>
        </w:rPr>
        <w:t>. The definition of a common configuration and a dedicated configuration can be seen in the descriptions of</w:t>
      </w:r>
      <w:r w:rsidR="006E6B15">
        <w:rPr>
          <w:lang w:val="x-none"/>
        </w:rPr>
        <w:t xml:space="preserve"> information elements</w:t>
      </w:r>
      <w:r>
        <w:rPr>
          <w:lang w:val="x-none"/>
        </w:rPr>
        <w:t xml:space="preserve"> in TS 38.331</w:t>
      </w:r>
      <w:r w:rsidR="006E6B15">
        <w:rPr>
          <w:lang w:val="x-none"/>
        </w:rPr>
        <w:t xml:space="preserve"> as per the following</w:t>
      </w:r>
      <w:r>
        <w:rPr>
          <w:lang w:val="x-none"/>
        </w:rPr>
        <w:t>:</w:t>
      </w:r>
    </w:p>
    <w:p w14:paraId="68234D09" w14:textId="2EDE2C6B" w:rsidR="006E6B15" w:rsidRDefault="006E6B15" w:rsidP="000419AF">
      <w:pPr>
        <w:jc w:val="center"/>
        <w:rPr>
          <w:lang w:val="x-none"/>
        </w:rPr>
      </w:pPr>
      <w:r w:rsidRPr="006E6B15">
        <w:rPr>
          <w:noProof/>
          <w:lang w:val="x-none"/>
        </w:rPr>
        <w:drawing>
          <wp:inline distT="0" distB="0" distL="0" distR="0" wp14:anchorId="1C5AC5B0" wp14:editId="72065E09">
            <wp:extent cx="6480175" cy="874395"/>
            <wp:effectExtent l="0" t="0" r="0" b="1905"/>
            <wp:docPr id="1645394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39453" name=""/>
                    <pic:cNvPicPr/>
                  </pic:nvPicPr>
                  <pic:blipFill>
                    <a:blip r:embed="rId13"/>
                    <a:stretch>
                      <a:fillRect/>
                    </a:stretch>
                  </pic:blipFill>
                  <pic:spPr>
                    <a:xfrm>
                      <a:off x="0" y="0"/>
                      <a:ext cx="6480175" cy="874395"/>
                    </a:xfrm>
                    <a:prstGeom prst="rect">
                      <a:avLst/>
                    </a:prstGeom>
                  </pic:spPr>
                </pic:pic>
              </a:graphicData>
            </a:graphic>
          </wp:inline>
        </w:drawing>
      </w:r>
    </w:p>
    <w:p w14:paraId="6D21F46E" w14:textId="4218553E" w:rsidR="006E6B15" w:rsidRDefault="006E6B15" w:rsidP="000419AF">
      <w:pPr>
        <w:jc w:val="center"/>
        <w:rPr>
          <w:lang w:val="x-none"/>
        </w:rPr>
      </w:pPr>
      <w:r w:rsidRPr="006E6B15">
        <w:rPr>
          <w:noProof/>
          <w:lang w:val="x-none"/>
        </w:rPr>
        <w:lastRenderedPageBreak/>
        <w:drawing>
          <wp:inline distT="0" distB="0" distL="0" distR="0" wp14:anchorId="3A8AF9E6" wp14:editId="76FB6EA1">
            <wp:extent cx="6480175" cy="579120"/>
            <wp:effectExtent l="0" t="0" r="0" b="0"/>
            <wp:docPr id="2590290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029016" name=""/>
                    <pic:cNvPicPr/>
                  </pic:nvPicPr>
                  <pic:blipFill>
                    <a:blip r:embed="rId14"/>
                    <a:stretch>
                      <a:fillRect/>
                    </a:stretch>
                  </pic:blipFill>
                  <pic:spPr>
                    <a:xfrm>
                      <a:off x="0" y="0"/>
                      <a:ext cx="6480175" cy="579120"/>
                    </a:xfrm>
                    <a:prstGeom prst="rect">
                      <a:avLst/>
                    </a:prstGeom>
                  </pic:spPr>
                </pic:pic>
              </a:graphicData>
            </a:graphic>
          </wp:inline>
        </w:drawing>
      </w:r>
    </w:p>
    <w:p w14:paraId="15C1901F" w14:textId="7D00CC50" w:rsidR="006E6B15" w:rsidRDefault="006E6B15" w:rsidP="000419AF">
      <w:pPr>
        <w:jc w:val="center"/>
        <w:rPr>
          <w:lang w:val="x-none"/>
        </w:rPr>
      </w:pPr>
      <w:r w:rsidRPr="006E6B15">
        <w:rPr>
          <w:noProof/>
          <w:lang w:val="x-none"/>
        </w:rPr>
        <w:drawing>
          <wp:inline distT="0" distB="0" distL="0" distR="0" wp14:anchorId="22AB09C2" wp14:editId="13A025D6">
            <wp:extent cx="6480175" cy="457200"/>
            <wp:effectExtent l="0" t="0" r="0" b="0"/>
            <wp:docPr id="225601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601587" name=""/>
                    <pic:cNvPicPr/>
                  </pic:nvPicPr>
                  <pic:blipFill>
                    <a:blip r:embed="rId15"/>
                    <a:stretch>
                      <a:fillRect/>
                    </a:stretch>
                  </pic:blipFill>
                  <pic:spPr>
                    <a:xfrm>
                      <a:off x="0" y="0"/>
                      <a:ext cx="6480175" cy="457200"/>
                    </a:xfrm>
                    <a:prstGeom prst="rect">
                      <a:avLst/>
                    </a:prstGeom>
                  </pic:spPr>
                </pic:pic>
              </a:graphicData>
            </a:graphic>
          </wp:inline>
        </w:drawing>
      </w:r>
    </w:p>
    <w:p w14:paraId="58E11E96" w14:textId="11C8F8B1" w:rsidR="006E6B15" w:rsidRDefault="006E6B15" w:rsidP="000419AF">
      <w:pPr>
        <w:jc w:val="center"/>
        <w:rPr>
          <w:lang w:val="x-none"/>
        </w:rPr>
      </w:pPr>
      <w:r w:rsidRPr="006E6B15">
        <w:rPr>
          <w:noProof/>
          <w:lang w:val="x-none"/>
        </w:rPr>
        <w:drawing>
          <wp:inline distT="0" distB="0" distL="0" distR="0" wp14:anchorId="65F96C4D" wp14:editId="1F90F3CA">
            <wp:extent cx="6480175" cy="691515"/>
            <wp:effectExtent l="0" t="0" r="0" b="0"/>
            <wp:docPr id="2923334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333426" name=""/>
                    <pic:cNvPicPr/>
                  </pic:nvPicPr>
                  <pic:blipFill>
                    <a:blip r:embed="rId16"/>
                    <a:stretch>
                      <a:fillRect/>
                    </a:stretch>
                  </pic:blipFill>
                  <pic:spPr>
                    <a:xfrm>
                      <a:off x="0" y="0"/>
                      <a:ext cx="6480175" cy="691515"/>
                    </a:xfrm>
                    <a:prstGeom prst="rect">
                      <a:avLst/>
                    </a:prstGeom>
                  </pic:spPr>
                </pic:pic>
              </a:graphicData>
            </a:graphic>
          </wp:inline>
        </w:drawing>
      </w:r>
    </w:p>
    <w:p w14:paraId="76B26B5B" w14:textId="77777777" w:rsidR="006E6B15" w:rsidRDefault="006E6B15" w:rsidP="000419AF">
      <w:pPr>
        <w:jc w:val="center"/>
        <w:rPr>
          <w:lang w:val="x-none"/>
        </w:rPr>
      </w:pPr>
      <w:r w:rsidRPr="006E6B15">
        <w:rPr>
          <w:noProof/>
          <w:lang w:val="x-none"/>
        </w:rPr>
        <w:drawing>
          <wp:inline distT="0" distB="0" distL="0" distR="0" wp14:anchorId="43EA008B" wp14:editId="39CAC31F">
            <wp:extent cx="6480175" cy="437515"/>
            <wp:effectExtent l="0" t="0" r="0" b="635"/>
            <wp:docPr id="15830646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064632" name=""/>
                    <pic:cNvPicPr/>
                  </pic:nvPicPr>
                  <pic:blipFill>
                    <a:blip r:embed="rId17"/>
                    <a:stretch>
                      <a:fillRect/>
                    </a:stretch>
                  </pic:blipFill>
                  <pic:spPr>
                    <a:xfrm>
                      <a:off x="0" y="0"/>
                      <a:ext cx="6480175" cy="437515"/>
                    </a:xfrm>
                    <a:prstGeom prst="rect">
                      <a:avLst/>
                    </a:prstGeom>
                  </pic:spPr>
                </pic:pic>
              </a:graphicData>
            </a:graphic>
          </wp:inline>
        </w:drawing>
      </w:r>
    </w:p>
    <w:p w14:paraId="34DB15AA" w14:textId="457BE6E9" w:rsidR="005362AD" w:rsidRDefault="005362AD" w:rsidP="00DA14D6">
      <w:pPr>
        <w:pStyle w:val="Observation"/>
      </w:pPr>
      <w:r>
        <w:t>Observation 1</w:t>
      </w:r>
      <w:r>
        <w:tab/>
        <w:t xml:space="preserve">In 5G, </w:t>
      </w:r>
      <w:r w:rsidRPr="00DA14D6">
        <w:t>a common configuration refers to the part of the UE configuration which is cell specific, i.e., same configuration is applied for all UEs operating in the cell, whereas a dedicated configuration refers to the part of the UE configuration which is specific to this particular UE.</w:t>
      </w:r>
    </w:p>
    <w:p w14:paraId="3AD93F61" w14:textId="05C46B92" w:rsidR="00965DE9" w:rsidRDefault="00DA14D6" w:rsidP="00965DE9">
      <w:pPr>
        <w:rPr>
          <w:lang w:val="x-none"/>
        </w:rPr>
      </w:pPr>
      <w:r>
        <w:rPr>
          <w:lang w:val="x-none"/>
        </w:rPr>
        <w:t xml:space="preserve">The exact split of the UE configuration to common and dedicated configuration in 5G RRC signalling is captured in </w:t>
      </w:r>
      <w:r>
        <w:rPr>
          <w:lang w:val="x-none"/>
        </w:rPr>
        <w:fldChar w:fldCharType="begin"/>
      </w:r>
      <w:r>
        <w:rPr>
          <w:lang w:val="x-none"/>
        </w:rPr>
        <w:instrText xml:space="preserve"> REF _Ref212191025 </w:instrText>
      </w:r>
      <w:r>
        <w:rPr>
          <w:lang w:val="x-none"/>
        </w:rPr>
        <w:fldChar w:fldCharType="separate"/>
      </w:r>
      <w:r w:rsidR="003A0B18">
        <w:t xml:space="preserve">Figure </w:t>
      </w:r>
      <w:r w:rsidR="003A0B18">
        <w:rPr>
          <w:noProof/>
        </w:rPr>
        <w:t>1</w:t>
      </w:r>
      <w:r>
        <w:rPr>
          <w:lang w:val="x-none"/>
        </w:rPr>
        <w:fldChar w:fldCharType="end"/>
      </w:r>
      <w:r>
        <w:rPr>
          <w:lang w:val="x-none"/>
        </w:rPr>
        <w:t xml:space="preserve"> (for an SpCell) and </w:t>
      </w:r>
      <w:r>
        <w:rPr>
          <w:lang w:val="x-none"/>
        </w:rPr>
        <w:fldChar w:fldCharType="begin"/>
      </w:r>
      <w:r>
        <w:rPr>
          <w:lang w:val="x-none"/>
        </w:rPr>
        <w:instrText xml:space="preserve"> REF _Ref212191041 </w:instrText>
      </w:r>
      <w:r>
        <w:rPr>
          <w:lang w:val="x-none"/>
        </w:rPr>
        <w:fldChar w:fldCharType="separate"/>
      </w:r>
      <w:r w:rsidR="003A0B18">
        <w:t xml:space="preserve">Figure </w:t>
      </w:r>
      <w:r w:rsidR="003A0B18">
        <w:rPr>
          <w:noProof/>
        </w:rPr>
        <w:t>2</w:t>
      </w:r>
      <w:r>
        <w:rPr>
          <w:lang w:val="x-none"/>
        </w:rPr>
        <w:fldChar w:fldCharType="end"/>
      </w:r>
      <w:r>
        <w:rPr>
          <w:lang w:val="x-none"/>
        </w:rPr>
        <w:t xml:space="preserve"> (for an SCell) below. Within each figure, the color coding represents the parts of the configuration that logically belong together to form UE configuration for certain BWP.</w:t>
      </w:r>
      <w:r w:rsidR="00965DE9">
        <w:rPr>
          <w:lang w:val="x-none"/>
        </w:rPr>
        <w:t xml:space="preserve"> We think the configuration structure captured in the figures brings a lot of complexity for both the UE and the network. As a concrete example, in order to know the PDCCH configuration for the initial DL BWP of the PCell, </w:t>
      </w:r>
      <w:r w:rsidR="00965DE9" w:rsidRPr="00CA747F">
        <w:rPr>
          <w:lang w:val="x-none"/>
        </w:rPr>
        <w:t>the UE needs to combine following fields</w:t>
      </w:r>
      <w:r w:rsidR="00965DE9">
        <w:rPr>
          <w:lang w:val="x-none"/>
        </w:rPr>
        <w:t>:</w:t>
      </w:r>
    </w:p>
    <w:p w14:paraId="3B61445B" w14:textId="5DD1EDF1" w:rsidR="00965DE9" w:rsidRDefault="00965DE9" w:rsidP="00965DE9">
      <w:pPr>
        <w:pStyle w:val="ListParagraph"/>
        <w:numPr>
          <w:ilvl w:val="0"/>
          <w:numId w:val="115"/>
        </w:numPr>
        <w:jc w:val="left"/>
        <w:textAlignment w:val="auto"/>
        <w:rPr>
          <w:lang w:val="en-US"/>
        </w:rPr>
      </w:pPr>
      <w:r>
        <w:t xml:space="preserve">The common configuration </w:t>
      </w:r>
      <w:r w:rsidR="000419AF">
        <w:t>signalled in</w:t>
      </w:r>
      <w:r>
        <w:t>:</w:t>
      </w:r>
    </w:p>
    <w:p w14:paraId="1D8821EA" w14:textId="77777777" w:rsidR="00965DE9" w:rsidRDefault="00965DE9" w:rsidP="00965DE9">
      <w:pPr>
        <w:pStyle w:val="ListParagraph"/>
        <w:numPr>
          <w:ilvl w:val="1"/>
          <w:numId w:val="115"/>
        </w:numPr>
        <w:jc w:val="left"/>
        <w:textAlignment w:val="auto"/>
        <w:rPr>
          <w:lang w:val="en-US"/>
        </w:rPr>
      </w:pPr>
      <w:r>
        <w:rPr>
          <w:i/>
          <w:iCs/>
          <w:lang w:val="en-US"/>
        </w:rPr>
        <w:t>SIB1</w:t>
      </w:r>
      <w:r>
        <w:rPr>
          <w:lang w:val="en-US"/>
        </w:rPr>
        <w:t xml:space="preserve"> -&gt; </w:t>
      </w:r>
      <w:r>
        <w:rPr>
          <w:i/>
          <w:iCs/>
          <w:lang w:val="en-US"/>
        </w:rPr>
        <w:t>servingCellConfigCommon</w:t>
      </w:r>
      <w:r>
        <w:rPr>
          <w:lang w:val="en-US"/>
        </w:rPr>
        <w:t xml:space="preserve"> -&gt; </w:t>
      </w:r>
      <w:r>
        <w:rPr>
          <w:i/>
          <w:iCs/>
          <w:lang w:val="en-US"/>
        </w:rPr>
        <w:t>downlinkConfigCommon</w:t>
      </w:r>
      <w:r>
        <w:rPr>
          <w:lang w:val="en-US"/>
        </w:rPr>
        <w:t xml:space="preserve"> -&gt; </w:t>
      </w:r>
      <w:r>
        <w:rPr>
          <w:i/>
          <w:iCs/>
          <w:lang w:val="en-US"/>
        </w:rPr>
        <w:t>initialDownlinkBWP</w:t>
      </w:r>
      <w:r>
        <w:rPr>
          <w:lang w:val="en-US"/>
        </w:rPr>
        <w:t xml:space="preserve"> -&gt;</w:t>
      </w:r>
      <w:r>
        <w:rPr>
          <w:lang w:val="en-US"/>
        </w:rPr>
        <w:br/>
      </w:r>
      <w:r>
        <w:rPr>
          <w:i/>
          <w:iCs/>
          <w:lang w:val="en-US"/>
        </w:rPr>
        <w:t>pdcch-ConfigCommon</w:t>
      </w:r>
      <w:r>
        <w:rPr>
          <w:lang w:val="en-US"/>
        </w:rPr>
        <w:t>, or</w:t>
      </w:r>
    </w:p>
    <w:p w14:paraId="0A89D318" w14:textId="77777777" w:rsidR="00965DE9" w:rsidRDefault="00965DE9" w:rsidP="00965DE9">
      <w:pPr>
        <w:pStyle w:val="ListParagraph"/>
        <w:numPr>
          <w:ilvl w:val="1"/>
          <w:numId w:val="115"/>
        </w:numPr>
        <w:jc w:val="left"/>
        <w:textAlignment w:val="auto"/>
        <w:rPr>
          <w:lang w:val="en-US"/>
        </w:rPr>
      </w:pPr>
      <w:r>
        <w:rPr>
          <w:i/>
          <w:iCs/>
          <w:lang w:val="en-US"/>
        </w:rPr>
        <w:t xml:space="preserve">RRCReconfiguration </w:t>
      </w:r>
      <w:r>
        <w:rPr>
          <w:lang w:val="en-US"/>
        </w:rPr>
        <w:t xml:space="preserve">-&gt; </w:t>
      </w:r>
      <w:r>
        <w:rPr>
          <w:i/>
          <w:iCs/>
          <w:lang w:val="en-US"/>
        </w:rPr>
        <w:t>masterCellGroup</w:t>
      </w:r>
      <w:r>
        <w:rPr>
          <w:lang w:val="en-US"/>
        </w:rPr>
        <w:t xml:space="preserve"> -&gt; </w:t>
      </w:r>
      <w:r>
        <w:rPr>
          <w:i/>
          <w:iCs/>
          <w:lang w:val="en-US"/>
        </w:rPr>
        <w:t>spCellConfig</w:t>
      </w:r>
      <w:r>
        <w:rPr>
          <w:lang w:val="en-US"/>
        </w:rPr>
        <w:t xml:space="preserve"> -&gt; </w:t>
      </w:r>
      <w:r>
        <w:rPr>
          <w:i/>
          <w:iCs/>
          <w:lang w:val="en-US"/>
        </w:rPr>
        <w:t>reconfigurationWithSync</w:t>
      </w:r>
      <w:r>
        <w:rPr>
          <w:lang w:val="en-US"/>
        </w:rPr>
        <w:t xml:space="preserve"> -&gt; </w:t>
      </w:r>
      <w:r>
        <w:rPr>
          <w:i/>
          <w:iCs/>
          <w:lang w:val="en-US"/>
        </w:rPr>
        <w:t xml:space="preserve">spCellConfigCommon </w:t>
      </w:r>
      <w:r>
        <w:rPr>
          <w:lang w:val="en-US"/>
        </w:rPr>
        <w:t xml:space="preserve">-&gt; </w:t>
      </w:r>
      <w:r>
        <w:rPr>
          <w:i/>
          <w:iCs/>
          <w:lang w:val="en-US"/>
        </w:rPr>
        <w:t xml:space="preserve">downlinkConfigCommon </w:t>
      </w:r>
      <w:r>
        <w:rPr>
          <w:lang w:val="en-US"/>
        </w:rPr>
        <w:t xml:space="preserve">-&gt; </w:t>
      </w:r>
      <w:r>
        <w:rPr>
          <w:i/>
          <w:iCs/>
          <w:lang w:val="en-US"/>
        </w:rPr>
        <w:t>initialDownlinkBWP</w:t>
      </w:r>
      <w:r>
        <w:rPr>
          <w:lang w:val="en-US"/>
        </w:rPr>
        <w:t xml:space="preserve"> -&gt; </w:t>
      </w:r>
      <w:r>
        <w:rPr>
          <w:i/>
          <w:iCs/>
          <w:lang w:val="en-US"/>
        </w:rPr>
        <w:t>pdcch-ConfigCommon</w:t>
      </w:r>
    </w:p>
    <w:p w14:paraId="64740553" w14:textId="35E67B10" w:rsidR="00965DE9" w:rsidRDefault="00965DE9" w:rsidP="00965DE9">
      <w:pPr>
        <w:pStyle w:val="ListParagraph"/>
        <w:numPr>
          <w:ilvl w:val="0"/>
          <w:numId w:val="115"/>
        </w:numPr>
        <w:textAlignment w:val="auto"/>
      </w:pPr>
      <w:r>
        <w:t xml:space="preserve">with the dedicated configuration </w:t>
      </w:r>
      <w:r w:rsidR="000419AF">
        <w:t>signalled in</w:t>
      </w:r>
      <w:r>
        <w:t>:</w:t>
      </w:r>
    </w:p>
    <w:p w14:paraId="51FD378A" w14:textId="77777777" w:rsidR="00965DE9" w:rsidRDefault="00965DE9" w:rsidP="00965DE9">
      <w:pPr>
        <w:pStyle w:val="ListParagraph"/>
        <w:numPr>
          <w:ilvl w:val="1"/>
          <w:numId w:val="115"/>
        </w:numPr>
        <w:spacing w:after="120"/>
        <w:ind w:left="1434" w:hanging="357"/>
        <w:jc w:val="left"/>
        <w:textAlignment w:val="auto"/>
      </w:pPr>
      <w:r>
        <w:rPr>
          <w:i/>
          <w:iCs/>
          <w:lang w:val="en-US"/>
        </w:rPr>
        <w:t>RRCSetup</w:t>
      </w:r>
      <w:r>
        <w:rPr>
          <w:lang w:val="en-US"/>
        </w:rPr>
        <w:t>/</w:t>
      </w:r>
      <w:r>
        <w:rPr>
          <w:i/>
          <w:iCs/>
          <w:lang w:val="en-US"/>
        </w:rPr>
        <w:t>RRCResume</w:t>
      </w:r>
      <w:r>
        <w:rPr>
          <w:lang w:val="en-US"/>
        </w:rPr>
        <w:t>/</w:t>
      </w:r>
      <w:r>
        <w:rPr>
          <w:i/>
          <w:iCs/>
          <w:lang w:val="en-US"/>
        </w:rPr>
        <w:t>RRCReconfiguration</w:t>
      </w:r>
      <w:r>
        <w:rPr>
          <w:lang w:val="en-US"/>
        </w:rPr>
        <w:t xml:space="preserve"> -&gt; </w:t>
      </w:r>
      <w:r>
        <w:rPr>
          <w:i/>
          <w:iCs/>
          <w:lang w:val="en-US"/>
        </w:rPr>
        <w:t>masterCellGroup</w:t>
      </w:r>
      <w:r>
        <w:rPr>
          <w:lang w:val="en-US"/>
        </w:rPr>
        <w:t xml:space="preserve"> -&gt; </w:t>
      </w:r>
      <w:r>
        <w:rPr>
          <w:i/>
          <w:iCs/>
          <w:lang w:val="en-US"/>
        </w:rPr>
        <w:t>spCellConfig</w:t>
      </w:r>
      <w:r>
        <w:rPr>
          <w:lang w:val="en-US"/>
        </w:rPr>
        <w:t xml:space="preserve"> -&gt; </w:t>
      </w:r>
      <w:r>
        <w:rPr>
          <w:i/>
          <w:iCs/>
          <w:lang w:val="en-US"/>
        </w:rPr>
        <w:t>spCellConfigDedicated</w:t>
      </w:r>
      <w:r>
        <w:rPr>
          <w:lang w:val="en-US"/>
        </w:rPr>
        <w:t xml:space="preserve"> -&gt; </w:t>
      </w:r>
      <w:r>
        <w:rPr>
          <w:i/>
          <w:iCs/>
          <w:lang w:val="en-US"/>
        </w:rPr>
        <w:t>initialDownlinkBWP</w:t>
      </w:r>
      <w:r>
        <w:rPr>
          <w:lang w:val="en-US"/>
        </w:rPr>
        <w:t xml:space="preserve"> -&gt; </w:t>
      </w:r>
      <w:r>
        <w:rPr>
          <w:i/>
          <w:iCs/>
          <w:lang w:val="en-US"/>
        </w:rPr>
        <w:t>pdcch-Config</w:t>
      </w:r>
    </w:p>
    <w:p w14:paraId="7A4882AB" w14:textId="77777777" w:rsidR="00965DE9" w:rsidRDefault="00965DE9" w:rsidP="00965DE9">
      <w:pPr>
        <w:rPr>
          <w:lang w:val="x-none"/>
        </w:rPr>
      </w:pPr>
      <w:r>
        <w:rPr>
          <w:lang w:val="x-none"/>
        </w:rPr>
        <w:t xml:space="preserve">One could ask, wouldn't it be simpler, for both the UE and the network, to </w:t>
      </w:r>
      <w:r w:rsidRPr="00CA747F">
        <w:rPr>
          <w:u w:val="single"/>
          <w:lang w:val="x-none"/>
        </w:rPr>
        <w:t>signal single</w:t>
      </w:r>
      <w:r>
        <w:rPr>
          <w:u w:val="single"/>
          <w:lang w:val="x-none"/>
        </w:rPr>
        <w:t xml:space="preserve"> physical channel configuration in a single field</w:t>
      </w:r>
      <w:r>
        <w:rPr>
          <w:lang w:val="x-none"/>
        </w:rPr>
        <w:t xml:space="preserve">? Furthermore, referring to the definition of common and dedicated configurations captured in Observation 1, it is irrelevant for the UE whether a part of the configuration is the same with the other UEs in the same cell or not; it simply has no functional significance for the UE. </w:t>
      </w:r>
    </w:p>
    <w:p w14:paraId="4AC9DCA5" w14:textId="77777777" w:rsidR="00965DE9" w:rsidRDefault="00965DE9" w:rsidP="00965DE9">
      <w:pPr>
        <w:pStyle w:val="Observation"/>
        <w:ind w:left="1559" w:hanging="1559"/>
      </w:pPr>
      <w:r>
        <w:t>Observation 2</w:t>
      </w:r>
      <w:r>
        <w:tab/>
        <w:t>The concept of common and dedicated configurations makes the 5G UE configuration structure complex for both the UE and the network. From UE's perspective, the split of the UE configuration to common and dedicated parts has no functional significance.</w:t>
      </w:r>
    </w:p>
    <w:p w14:paraId="3D228FF7" w14:textId="77777777" w:rsidR="00965DE9" w:rsidRDefault="00965DE9" w:rsidP="00965DE9">
      <w:r>
        <w:t>Based on the above, we propose to simplify the UE configuration structure in 6G by not applying the concept of common and dedicated configurations in RRC signalling.</w:t>
      </w:r>
    </w:p>
    <w:p w14:paraId="71F9D164" w14:textId="77777777" w:rsidR="00965DE9" w:rsidRDefault="00965DE9" w:rsidP="00965DE9">
      <w:pPr>
        <w:pStyle w:val="Observation"/>
        <w:ind w:left="1559" w:hanging="1559"/>
      </w:pPr>
      <w:r>
        <w:t>Proposal 1</w:t>
      </w:r>
      <w:r>
        <w:tab/>
        <w:t>The concept of common and dedicated configurations is not applied as a defining factor for the UE configuration structure in 6G RRC signalling.</w:t>
      </w:r>
    </w:p>
    <w:p w14:paraId="6D7D92F6" w14:textId="17A38198" w:rsidR="00DA14D6" w:rsidRDefault="00454A80" w:rsidP="00DA14D6">
      <w:pPr>
        <w:keepNext/>
        <w:jc w:val="center"/>
      </w:pPr>
      <w:r w:rsidRPr="00454A80">
        <w:rPr>
          <w:noProof/>
        </w:rPr>
        <w:lastRenderedPageBreak/>
        <w:drawing>
          <wp:inline distT="0" distB="0" distL="0" distR="0" wp14:anchorId="37D8B8ED" wp14:editId="76AF7464">
            <wp:extent cx="6015600" cy="9244800"/>
            <wp:effectExtent l="0" t="0" r="4445" b="0"/>
            <wp:docPr id="9" name="Picture 8">
              <a:extLst xmlns:a="http://schemas.openxmlformats.org/drawingml/2006/main">
                <a:ext uri="{FF2B5EF4-FFF2-40B4-BE49-F238E27FC236}">
                  <a16:creationId xmlns:a16="http://schemas.microsoft.com/office/drawing/2014/main" id="{F98BDCE0-17CE-C280-E6D7-9AC71E91C6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98BDCE0-17CE-C280-E6D7-9AC71E91C639}"/>
                        </a:ext>
                      </a:extLst>
                    </pic:cNvPr>
                    <pic:cNvPicPr>
                      <a:picLocks noChangeAspect="1"/>
                    </pic:cNvPicPr>
                  </pic:nvPicPr>
                  <pic:blipFill>
                    <a:blip r:embed="rId18"/>
                    <a:stretch>
                      <a:fillRect/>
                    </a:stretch>
                  </pic:blipFill>
                  <pic:spPr>
                    <a:xfrm>
                      <a:off x="0" y="0"/>
                      <a:ext cx="6015600" cy="9244800"/>
                    </a:xfrm>
                    <a:prstGeom prst="rect">
                      <a:avLst/>
                    </a:prstGeom>
                  </pic:spPr>
                </pic:pic>
              </a:graphicData>
            </a:graphic>
          </wp:inline>
        </w:drawing>
      </w:r>
    </w:p>
    <w:p w14:paraId="4807B448" w14:textId="541E9BC2" w:rsidR="00DA14D6" w:rsidRDefault="00DA14D6" w:rsidP="00DA14D6">
      <w:pPr>
        <w:pStyle w:val="Caption"/>
        <w:jc w:val="center"/>
      </w:pPr>
      <w:bookmarkStart w:id="1" w:name="_Ref212191025"/>
      <w:r>
        <w:t xml:space="preserve">Figure </w:t>
      </w:r>
      <w:r>
        <w:fldChar w:fldCharType="begin"/>
      </w:r>
      <w:r>
        <w:instrText xml:space="preserve"> SEQ Figure \* ARABIC </w:instrText>
      </w:r>
      <w:r>
        <w:fldChar w:fldCharType="separate"/>
      </w:r>
      <w:r w:rsidR="00A2396A">
        <w:rPr>
          <w:noProof/>
        </w:rPr>
        <w:t>1</w:t>
      </w:r>
      <w:r>
        <w:fldChar w:fldCharType="end"/>
      </w:r>
      <w:bookmarkEnd w:id="1"/>
      <w:r>
        <w:t>. Common and dedicated configurations in 5G RRC signalling for an SpCell</w:t>
      </w:r>
    </w:p>
    <w:p w14:paraId="1597801B" w14:textId="47B3EBB3" w:rsidR="00DA14D6" w:rsidRDefault="00965DE9" w:rsidP="00DA14D6">
      <w:pPr>
        <w:keepNext/>
        <w:jc w:val="center"/>
      </w:pPr>
      <w:r w:rsidRPr="00965DE9">
        <w:rPr>
          <w:noProof/>
          <w:lang w:eastAsia="en-GB"/>
        </w:rPr>
        <w:lastRenderedPageBreak/>
        <w:drawing>
          <wp:inline distT="0" distB="0" distL="0" distR="0" wp14:anchorId="5DD25C27" wp14:editId="5C661E4C">
            <wp:extent cx="5878800" cy="6750000"/>
            <wp:effectExtent l="0" t="0" r="8255" b="0"/>
            <wp:docPr id="11" name="Picture 10">
              <a:extLst xmlns:a="http://schemas.openxmlformats.org/drawingml/2006/main">
                <a:ext uri="{FF2B5EF4-FFF2-40B4-BE49-F238E27FC236}">
                  <a16:creationId xmlns:a16="http://schemas.microsoft.com/office/drawing/2014/main" id="{A0E22A27-7DC5-8527-F5B0-AE083A8EBC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A0E22A27-7DC5-8527-F5B0-AE083A8EBCD0}"/>
                        </a:ext>
                      </a:extLst>
                    </pic:cNvPr>
                    <pic:cNvPicPr>
                      <a:picLocks noChangeAspect="1"/>
                    </pic:cNvPicPr>
                  </pic:nvPicPr>
                  <pic:blipFill>
                    <a:blip r:embed="rId19"/>
                    <a:stretch>
                      <a:fillRect/>
                    </a:stretch>
                  </pic:blipFill>
                  <pic:spPr>
                    <a:xfrm>
                      <a:off x="0" y="0"/>
                      <a:ext cx="5878800" cy="6750000"/>
                    </a:xfrm>
                    <a:prstGeom prst="rect">
                      <a:avLst/>
                    </a:prstGeom>
                  </pic:spPr>
                </pic:pic>
              </a:graphicData>
            </a:graphic>
          </wp:inline>
        </w:drawing>
      </w:r>
    </w:p>
    <w:p w14:paraId="1D5FD0B8" w14:textId="38CF4E53" w:rsidR="00DA14D6" w:rsidRPr="00DA14D6" w:rsidRDefault="00DA14D6" w:rsidP="00DA14D6">
      <w:pPr>
        <w:pStyle w:val="Caption"/>
        <w:jc w:val="center"/>
      </w:pPr>
      <w:bookmarkStart w:id="2" w:name="_Ref212191041"/>
      <w:r>
        <w:t xml:space="preserve">Figure </w:t>
      </w:r>
      <w:r>
        <w:fldChar w:fldCharType="begin"/>
      </w:r>
      <w:r>
        <w:instrText xml:space="preserve"> SEQ Figure \* ARABIC </w:instrText>
      </w:r>
      <w:r>
        <w:fldChar w:fldCharType="separate"/>
      </w:r>
      <w:r w:rsidR="00A2396A">
        <w:rPr>
          <w:noProof/>
        </w:rPr>
        <w:t>2</w:t>
      </w:r>
      <w:r>
        <w:fldChar w:fldCharType="end"/>
      </w:r>
      <w:bookmarkEnd w:id="2"/>
      <w:r>
        <w:t>. Common and dedicated configuration</w:t>
      </w:r>
      <w:r w:rsidR="00146F93">
        <w:t>s</w:t>
      </w:r>
      <w:r>
        <w:t xml:space="preserve"> in 5G RRC signalling for an SCell</w:t>
      </w:r>
    </w:p>
    <w:p w14:paraId="451EBB0F" w14:textId="77777777" w:rsidR="007902C2" w:rsidRDefault="007902C2">
      <w:pPr>
        <w:overflowPunct/>
        <w:autoSpaceDE/>
        <w:autoSpaceDN/>
        <w:adjustRightInd/>
        <w:spacing w:after="0"/>
        <w:jc w:val="left"/>
        <w:textAlignment w:val="auto"/>
      </w:pPr>
      <w:bookmarkStart w:id="3" w:name="_Ref201652918"/>
      <w:r>
        <w:br w:type="page"/>
      </w:r>
    </w:p>
    <w:p w14:paraId="63A568E9" w14:textId="03AE849B" w:rsidR="00AB288C" w:rsidRDefault="00AB288C" w:rsidP="00AB288C">
      <w:pPr>
        <w:pStyle w:val="Heading2"/>
      </w:pPr>
      <w:r>
        <w:lastRenderedPageBreak/>
        <w:t>2.2</w:t>
      </w:r>
      <w:r>
        <w:tab/>
        <w:t>Delta Signalling</w:t>
      </w:r>
    </w:p>
    <w:p w14:paraId="44AFB2B1" w14:textId="77777777" w:rsidR="00AB288C" w:rsidRDefault="00AB288C" w:rsidP="00AB288C">
      <w:pPr>
        <w:rPr>
          <w:lang w:val="x-none"/>
        </w:rPr>
      </w:pPr>
      <w:r>
        <w:rPr>
          <w:lang w:val="x-none"/>
        </w:rPr>
        <w:t>The primary purpose or goal of the delta signalling mechanism is to reduce the size of the over-the-air RRC messages for UE reconfiguration. Based on the agreement in RAN2#131bis (refer to Chapter 1), companies clearly see that the over-the-air RRC message size continues to be an important aspect also in 6G for radio resources consumption and control plane signalling latency perspective. However, the delta signalling mechanism also provides another benefit, which is visible to the UE only, which we explain below.</w:t>
      </w:r>
    </w:p>
    <w:p w14:paraId="2366FE74" w14:textId="1D92F024" w:rsidR="00AB288C" w:rsidRDefault="00AB288C" w:rsidP="00AB288C">
      <w:r>
        <w:rPr>
          <w:lang w:val="x-none"/>
        </w:rPr>
        <w:t>When the UE receives RRC message for reconfiguration, one of the steps the UE needs to perform is to find out which parts of the UE configuration are actually being reconfigured. For example, if RF related configuration is being reconfigured, the UE can already in the very early phase of the configuration processing start preparations for RF reconfiguration in the UE lower layers</w:t>
      </w:r>
      <w:r w:rsidR="0007069F">
        <w:rPr>
          <w:lang w:val="x-none"/>
        </w:rPr>
        <w:t>, etc</w:t>
      </w:r>
      <w:r>
        <w:rPr>
          <w:lang w:val="x-none"/>
        </w:rPr>
        <w:t>. If the delta signalling is used by the network, the UE can utilize the presence of fields in the RRC message to know which parts of the configuration are being reconfigured. This process is more streamlined and faster to execute in comparison to a scenario where the network does not use delta configuration at all (or uses it only selectively in the configuration structure), in which case the UE needs to actually compare the current and the new configurations in order to find out which part</w:t>
      </w:r>
      <w:r w:rsidR="00F90CB0">
        <w:rPr>
          <w:lang w:val="x-none"/>
        </w:rPr>
        <w:t>s</w:t>
      </w:r>
      <w:r>
        <w:rPr>
          <w:lang w:val="x-none"/>
        </w:rPr>
        <w:t xml:space="preserve"> of the configuration remain the same and which </w:t>
      </w:r>
      <w:r w:rsidR="00F90CB0">
        <w:rPr>
          <w:lang w:val="x-none"/>
        </w:rPr>
        <w:t>are</w:t>
      </w:r>
      <w:r>
        <w:rPr>
          <w:lang w:val="x-none"/>
        </w:rPr>
        <w:t xml:space="preserve"> reconfigured. To summarize, the </w:t>
      </w:r>
      <w:r w:rsidR="00F90CB0">
        <w:rPr>
          <w:lang w:val="x-none"/>
        </w:rPr>
        <w:t>delta signalling enable</w:t>
      </w:r>
      <w:r w:rsidR="0007069F">
        <w:rPr>
          <w:lang w:val="x-none"/>
        </w:rPr>
        <w:t>s</w:t>
      </w:r>
      <w:r w:rsidR="00F90CB0">
        <w:rPr>
          <w:lang w:val="x-none"/>
        </w:rPr>
        <w:t xml:space="preserve"> smaller </w:t>
      </w:r>
      <w:r>
        <w:rPr>
          <w:lang w:val="x-none"/>
        </w:rPr>
        <w:t>over-the-air RRC message size</w:t>
      </w:r>
      <w:r w:rsidR="00F90CB0">
        <w:rPr>
          <w:lang w:val="x-none"/>
        </w:rPr>
        <w:t xml:space="preserve"> and also faster reconfiguration procedure in the UE</w:t>
      </w:r>
      <w:r>
        <w:rPr>
          <w:lang w:val="x-none"/>
        </w:rPr>
        <w:t>.</w:t>
      </w:r>
    </w:p>
    <w:p w14:paraId="413C6CED" w14:textId="72492CD8" w:rsidR="00AB288C" w:rsidRDefault="00AB288C" w:rsidP="00AB288C">
      <w:pPr>
        <w:pStyle w:val="Observation"/>
        <w:ind w:left="1559" w:hanging="1559"/>
      </w:pPr>
      <w:r>
        <w:t xml:space="preserve">Observation </w:t>
      </w:r>
      <w:r w:rsidR="005224AD">
        <w:t>3</w:t>
      </w:r>
      <w:r>
        <w:tab/>
        <w:t>Delta signalling mechanism is worthwhile as it enables smaller over-the-air RRC messages for UE reconfiguration, which is beneficial for radio resource co</w:t>
      </w:r>
      <w:r w:rsidR="005439FA">
        <w:t>n</w:t>
      </w:r>
      <w:r>
        <w:t>sumption and control plane latency perspective, but also significantly eases the UE in detecting which part</w:t>
      </w:r>
      <w:r w:rsidR="00F90CB0">
        <w:t>s</w:t>
      </w:r>
      <w:r>
        <w:t xml:space="preserve"> of the configuration </w:t>
      </w:r>
      <w:r w:rsidR="00F90CB0">
        <w:t>are</w:t>
      </w:r>
      <w:r>
        <w:t xml:space="preserve"> reconfigured.</w:t>
      </w:r>
    </w:p>
    <w:p w14:paraId="2502B0AD" w14:textId="2BB880C5" w:rsidR="00AB288C" w:rsidRDefault="00AB288C" w:rsidP="00AB288C">
      <w:pPr>
        <w:rPr>
          <w:lang w:val="x-none"/>
        </w:rPr>
      </w:pPr>
      <w:r>
        <w:rPr>
          <w:lang w:val="x-none"/>
        </w:rPr>
        <w:t xml:space="preserve">Based on the analysis above, it seems reasonable to apply the delta signalling also in 6G RRC. </w:t>
      </w:r>
      <w:r>
        <w:t xml:space="preserve">However, </w:t>
      </w:r>
      <w:r w:rsidRPr="001E5207">
        <w:rPr>
          <w:u w:val="single"/>
        </w:rPr>
        <w:t>the delta signalling provides its benefits only if it is actually used by the network</w:t>
      </w:r>
      <w:r>
        <w:t>. As explained by a network vendor (R2-2507073)</w:t>
      </w:r>
      <w:r w:rsidR="00BB07E5">
        <w:t xml:space="preserve"> </w:t>
      </w:r>
      <w:r w:rsidR="00BB07E5">
        <w:fldChar w:fldCharType="begin"/>
      </w:r>
      <w:r w:rsidR="00BB07E5">
        <w:instrText xml:space="preserve"> REF _Ref213226775 \r \h </w:instrText>
      </w:r>
      <w:r w:rsidR="00BB07E5">
        <w:fldChar w:fldCharType="separate"/>
      </w:r>
      <w:r w:rsidR="00BB07E5">
        <w:t>[2]</w:t>
      </w:r>
      <w:r w:rsidR="00BB07E5">
        <w:fldChar w:fldCharType="end"/>
      </w:r>
      <w:r>
        <w:t xml:space="preserve">, the delta signalling is not used in 5G networks as much as it ideally should be due to the ambiguities the delta signalling mechanism introduces. For this reason, in order to make the delta signalling more implementable in 6G, also the related ambiguities should be avoided. </w:t>
      </w:r>
    </w:p>
    <w:p w14:paraId="7340983A" w14:textId="1DB4A4BA" w:rsidR="00AB288C" w:rsidRDefault="00AB288C" w:rsidP="00AB288C">
      <w:pPr>
        <w:pStyle w:val="Observation"/>
        <w:ind w:left="1559" w:hanging="1559"/>
      </w:pPr>
      <w:r>
        <w:t>Proposal 2</w:t>
      </w:r>
      <w:r>
        <w:tab/>
        <w:t>Delta signalling is applied in 6G RRC for UE reconfiguration. To make the delta signalling implementable in 6G, RAN2 targets to avoid the ambiguities related to the delta signalling mechanism.</w:t>
      </w:r>
    </w:p>
    <w:p w14:paraId="106EC989" w14:textId="56DD9F75" w:rsidR="00B13B65" w:rsidRPr="00B13B65" w:rsidRDefault="00946A4C" w:rsidP="00B13B65">
      <w:r>
        <w:t>In the discussion on</w:t>
      </w:r>
      <w:r w:rsidR="00B13B65">
        <w:t xml:space="preserve"> </w:t>
      </w:r>
      <w:r w:rsidR="00B13B65" w:rsidRPr="00B13B65">
        <w:t xml:space="preserve">ASN.1 ambiguities </w:t>
      </w:r>
      <w:r>
        <w:t xml:space="preserve">in Chapter 2.3 we also </w:t>
      </w:r>
      <w:r w:rsidR="00B13B65" w:rsidRPr="00B13B65">
        <w:t>identify which of them are related to the delta signalling mechanism.</w:t>
      </w:r>
    </w:p>
    <w:p w14:paraId="0B2A7AC8" w14:textId="504474A1" w:rsidR="003D2A1A" w:rsidRDefault="003D2A1A" w:rsidP="00B13B65">
      <w:pPr>
        <w:pStyle w:val="Heading2"/>
        <w:spacing w:before="120"/>
      </w:pPr>
      <w:r w:rsidRPr="00CF0FF8">
        <w:t>2.</w:t>
      </w:r>
      <w:r w:rsidR="00B13B65">
        <w:t>3</w:t>
      </w:r>
      <w:r w:rsidRPr="00CF0FF8">
        <w:tab/>
      </w:r>
      <w:bookmarkEnd w:id="3"/>
      <w:r w:rsidR="00AB288C">
        <w:t>ASN.1 Ambiguities</w:t>
      </w:r>
    </w:p>
    <w:p w14:paraId="4AFA9F3E" w14:textId="4B6A68DA" w:rsidR="00D50488" w:rsidRDefault="00D50488" w:rsidP="003A0B18">
      <w:pPr>
        <w:pStyle w:val="Heading3"/>
        <w:spacing w:before="0"/>
      </w:pPr>
      <w:r>
        <w:t>2.</w:t>
      </w:r>
      <w:r w:rsidR="00350C83">
        <w:t>3</w:t>
      </w:r>
      <w:r>
        <w:t>.1</w:t>
      </w:r>
      <w:r>
        <w:tab/>
      </w:r>
      <w:r w:rsidR="00D66515">
        <w:t>Analysis</w:t>
      </w:r>
    </w:p>
    <w:p w14:paraId="4540FBF1" w14:textId="0E8A4950" w:rsidR="00707F18" w:rsidRPr="003A0B18" w:rsidRDefault="00E54063" w:rsidP="0097662B">
      <w:pPr>
        <w:rPr>
          <w:lang w:val="x-none"/>
        </w:rPr>
      </w:pPr>
      <w:r>
        <w:rPr>
          <w:lang w:val="x-none"/>
        </w:rPr>
        <w:t>In our previous contribution</w:t>
      </w:r>
      <w:r w:rsidR="00EA2BE7">
        <w:rPr>
          <w:lang w:val="x-none"/>
        </w:rPr>
        <w:t xml:space="preserve"> for RAN2#131bis (</w:t>
      </w:r>
      <w:r w:rsidR="00EA2BE7">
        <w:t xml:space="preserve">R2-2506957) </w:t>
      </w:r>
      <w:r w:rsidR="00EA2BE7">
        <w:fldChar w:fldCharType="begin"/>
      </w:r>
      <w:r w:rsidR="00EA2BE7">
        <w:instrText xml:space="preserve"> REF _Ref212032611 \r </w:instrText>
      </w:r>
      <w:r w:rsidR="00EA2BE7">
        <w:fldChar w:fldCharType="separate"/>
      </w:r>
      <w:r w:rsidR="00EA2BE7">
        <w:t>[3]</w:t>
      </w:r>
      <w:r w:rsidR="00EA2BE7">
        <w:fldChar w:fldCharType="end"/>
      </w:r>
      <w:r>
        <w:rPr>
          <w:lang w:val="x-none"/>
        </w:rPr>
        <w:t xml:space="preserve">, we listed three main ambiguities which exist in 5G RRC signalling for UE </w:t>
      </w:r>
      <w:r w:rsidR="00032DDF">
        <w:rPr>
          <w:lang w:val="x-none"/>
        </w:rPr>
        <w:t>(re)</w:t>
      </w:r>
      <w:r>
        <w:rPr>
          <w:lang w:val="x-none"/>
        </w:rPr>
        <w:t>configuration. These ambiguities are listed below again and also numbered for easier referencing in the rest of the document.</w:t>
      </w:r>
    </w:p>
    <w:p w14:paraId="0DD3ABB4" w14:textId="77777777" w:rsidR="00D66515" w:rsidRDefault="00D66515" w:rsidP="00D66515">
      <w:pPr>
        <w:pStyle w:val="ListParagraph"/>
        <w:numPr>
          <w:ilvl w:val="0"/>
          <w:numId w:val="113"/>
        </w:numPr>
      </w:pPr>
      <w:r w:rsidRPr="00D66515">
        <w:t>Functionally mandatory UE configuration parameters can be absent in over-the-air RRC messages for initial configuration of a feature/functionality;</w:t>
      </w:r>
    </w:p>
    <w:p w14:paraId="64046F37" w14:textId="067D186B" w:rsidR="00D66515" w:rsidRDefault="00D66515" w:rsidP="00D66515">
      <w:pPr>
        <w:pStyle w:val="ListParagraph"/>
        <w:numPr>
          <w:ilvl w:val="0"/>
          <w:numId w:val="113"/>
        </w:numPr>
      </w:pPr>
      <w:r>
        <w:t>UE configuration parameters which shouldn't be modified after initial configuration of a feature/functionality can be sent in subsequent over-the-air RRC messages with new values;</w:t>
      </w:r>
    </w:p>
    <w:p w14:paraId="7FE37DB5" w14:textId="6850242E" w:rsidR="00D66515" w:rsidRPr="00D66515" w:rsidRDefault="00D66515" w:rsidP="00D66515">
      <w:pPr>
        <w:pStyle w:val="ListParagraph"/>
        <w:numPr>
          <w:ilvl w:val="0"/>
          <w:numId w:val="113"/>
        </w:numPr>
        <w:spacing w:after="120"/>
        <w:ind w:left="714" w:hanging="357"/>
      </w:pPr>
      <w:r>
        <w:t>UE configuration parameters can be sent in over-the-air RRC messages with values which do not conform to other parts of the configuration (e.g., presence or values of other configuration parameters).</w:t>
      </w:r>
    </w:p>
    <w:p w14:paraId="07977F5E" w14:textId="67100981" w:rsidR="00D66515" w:rsidRDefault="00D66515" w:rsidP="007E4821">
      <w:pPr>
        <w:keepNext/>
        <w:spacing w:before="120"/>
        <w:rPr>
          <w:b/>
          <w:bCs/>
        </w:rPr>
      </w:pPr>
      <w:r>
        <w:rPr>
          <w:b/>
          <w:bCs/>
        </w:rPr>
        <w:t>Analysis of the 1st Ambiguity</w:t>
      </w:r>
    </w:p>
    <w:p w14:paraId="7E2113DD" w14:textId="452C0221" w:rsidR="007E4821" w:rsidRDefault="00D51803" w:rsidP="00D50488">
      <w:pPr>
        <w:rPr>
          <w:lang w:val="x-none"/>
        </w:rPr>
      </w:pPr>
      <w:r w:rsidRPr="003A0B18">
        <w:rPr>
          <w:lang w:val="x-none"/>
        </w:rPr>
        <w:t>We</w:t>
      </w:r>
      <w:r>
        <w:rPr>
          <w:lang w:val="x-none"/>
        </w:rPr>
        <w:t xml:space="preserve"> carried out</w:t>
      </w:r>
      <w:r w:rsidR="00862601">
        <w:rPr>
          <w:lang w:val="x-none"/>
        </w:rPr>
        <w:t xml:space="preserve"> </w:t>
      </w:r>
      <w:r>
        <w:rPr>
          <w:lang w:val="x-none"/>
        </w:rPr>
        <w:t xml:space="preserve">a study of </w:t>
      </w:r>
      <w:r w:rsidR="00446C96">
        <w:rPr>
          <w:lang w:val="x-none"/>
        </w:rPr>
        <w:t xml:space="preserve">our </w:t>
      </w:r>
      <w:r w:rsidR="0091392C">
        <w:rPr>
          <w:lang w:val="x-none"/>
        </w:rPr>
        <w:t xml:space="preserve">product development </w:t>
      </w:r>
      <w:r w:rsidR="00446C96">
        <w:rPr>
          <w:lang w:val="x-none"/>
        </w:rPr>
        <w:t xml:space="preserve">records and </w:t>
      </w:r>
      <w:r>
        <w:rPr>
          <w:lang w:val="x-none"/>
        </w:rPr>
        <w:t xml:space="preserve">the 5G RRC </w:t>
      </w:r>
      <w:r w:rsidR="00446C96">
        <w:rPr>
          <w:lang w:val="x-none"/>
        </w:rPr>
        <w:t>ASN.1</w:t>
      </w:r>
      <w:r>
        <w:rPr>
          <w:lang w:val="x-none"/>
        </w:rPr>
        <w:t xml:space="preserve"> (TS 38.331 v19.0.0)</w:t>
      </w:r>
      <w:r w:rsidR="00446C96">
        <w:rPr>
          <w:lang w:val="x-none"/>
        </w:rPr>
        <w:t xml:space="preserve"> </w:t>
      </w:r>
      <w:r>
        <w:rPr>
          <w:lang w:val="x-none"/>
        </w:rPr>
        <w:t>to identify how common this kind of ambiguity is in practice. To summarize, we easily identif</w:t>
      </w:r>
      <w:r w:rsidR="0089167F">
        <w:rPr>
          <w:lang w:val="x-none"/>
        </w:rPr>
        <w:t>ied</w:t>
      </w:r>
      <w:r>
        <w:rPr>
          <w:lang w:val="x-none"/>
        </w:rPr>
        <w:t xml:space="preserve"> </w:t>
      </w:r>
      <w:r w:rsidR="00FF2C37">
        <w:rPr>
          <w:u w:val="single"/>
          <w:lang w:val="x-none"/>
        </w:rPr>
        <w:t>dozens</w:t>
      </w:r>
      <w:r w:rsidRPr="003A0B18">
        <w:rPr>
          <w:u w:val="single"/>
          <w:lang w:val="x-none"/>
        </w:rPr>
        <w:t xml:space="preserve"> of occurrences</w:t>
      </w:r>
      <w:r>
        <w:rPr>
          <w:lang w:val="x-none"/>
        </w:rPr>
        <w:t xml:space="preserve"> by looking at TS 38.331 only</w:t>
      </w:r>
      <w:r w:rsidR="00862601">
        <w:rPr>
          <w:lang w:val="x-none"/>
        </w:rPr>
        <w:t xml:space="preserve">; </w:t>
      </w:r>
      <w:r w:rsidR="00446C96">
        <w:rPr>
          <w:lang w:val="x-none"/>
        </w:rPr>
        <w:t>several</w:t>
      </w:r>
      <w:r w:rsidR="00862601">
        <w:rPr>
          <w:lang w:val="x-none"/>
        </w:rPr>
        <w:t xml:space="preserve"> of </w:t>
      </w:r>
      <w:r w:rsidR="0089167F">
        <w:rPr>
          <w:lang w:val="x-none"/>
        </w:rPr>
        <w:t>which</w:t>
      </w:r>
      <w:r w:rsidR="00862601">
        <w:rPr>
          <w:lang w:val="x-none"/>
        </w:rPr>
        <w:t xml:space="preserve"> we've also seen in practice in IODT/live networks</w:t>
      </w:r>
      <w:r>
        <w:rPr>
          <w:lang w:val="x-none"/>
        </w:rPr>
        <w:t xml:space="preserve">. In addition, since significant amount of the UE configuration parameters originate from RAN1, </w:t>
      </w:r>
      <w:r w:rsidRPr="003A0B18">
        <w:rPr>
          <w:u w:val="single"/>
          <w:lang w:val="x-none"/>
        </w:rPr>
        <w:t>many more occurrences</w:t>
      </w:r>
      <w:r>
        <w:rPr>
          <w:lang w:val="x-none"/>
        </w:rPr>
        <w:t xml:space="preserve"> </w:t>
      </w:r>
      <w:r w:rsidR="00446C96">
        <w:rPr>
          <w:lang w:val="x-none"/>
        </w:rPr>
        <w:t>could</w:t>
      </w:r>
      <w:r>
        <w:rPr>
          <w:lang w:val="x-none"/>
        </w:rPr>
        <w:t xml:space="preserve"> be revealed, if also mandatoriness of the configuration parameters for features/functionalities captured </w:t>
      </w:r>
      <w:r w:rsidR="00983108">
        <w:rPr>
          <w:lang w:val="x-none"/>
        </w:rPr>
        <w:t xml:space="preserve">in TS 38.213 and TS 38.214 </w:t>
      </w:r>
      <w:r>
        <w:rPr>
          <w:lang w:val="x-none"/>
        </w:rPr>
        <w:t>w</w:t>
      </w:r>
      <w:r w:rsidR="00F90CB0">
        <w:rPr>
          <w:lang w:val="x-none"/>
        </w:rPr>
        <w:t>as</w:t>
      </w:r>
      <w:r>
        <w:rPr>
          <w:lang w:val="x-none"/>
        </w:rPr>
        <w:t xml:space="preserve"> analyzed against the ASN.1. To clarify how this </w:t>
      </w:r>
      <w:r w:rsidR="00ED0E4E">
        <w:rPr>
          <w:lang w:val="x-none"/>
        </w:rPr>
        <w:t>kind</w:t>
      </w:r>
      <w:r>
        <w:rPr>
          <w:lang w:val="x-none"/>
        </w:rPr>
        <w:t xml:space="preserve"> of ambiguity looks in practice, </w:t>
      </w:r>
      <w:r w:rsidR="0089167F">
        <w:rPr>
          <w:lang w:val="x-none"/>
        </w:rPr>
        <w:t>some examples are listed</w:t>
      </w:r>
      <w:r>
        <w:rPr>
          <w:lang w:val="x-none"/>
        </w:rPr>
        <w:t xml:space="preserve"> in </w:t>
      </w:r>
      <w:r w:rsidR="0035662A">
        <w:rPr>
          <w:lang w:val="x-none"/>
        </w:rPr>
        <w:fldChar w:fldCharType="begin"/>
      </w:r>
      <w:r w:rsidR="0035662A">
        <w:rPr>
          <w:lang w:val="x-none"/>
        </w:rPr>
        <w:instrText xml:space="preserve"> REF _Ref213069248 </w:instrText>
      </w:r>
      <w:r w:rsidR="0035662A">
        <w:rPr>
          <w:lang w:val="x-none"/>
        </w:rPr>
        <w:fldChar w:fldCharType="separate"/>
      </w:r>
      <w:r w:rsidR="003A0B18">
        <w:t xml:space="preserve">Table </w:t>
      </w:r>
      <w:r w:rsidR="003A0B18">
        <w:rPr>
          <w:noProof/>
        </w:rPr>
        <w:t>1</w:t>
      </w:r>
      <w:r w:rsidR="0035662A">
        <w:rPr>
          <w:lang w:val="x-none"/>
        </w:rPr>
        <w:fldChar w:fldCharType="end"/>
      </w:r>
      <w:r w:rsidR="00446C96">
        <w:rPr>
          <w:lang w:val="x-none"/>
        </w:rPr>
        <w:t>.</w:t>
      </w:r>
    </w:p>
    <w:p w14:paraId="074D70DE" w14:textId="77777777" w:rsidR="007E4821" w:rsidRDefault="007E4821">
      <w:pPr>
        <w:overflowPunct/>
        <w:autoSpaceDE/>
        <w:autoSpaceDN/>
        <w:adjustRightInd/>
        <w:spacing w:after="0"/>
        <w:jc w:val="left"/>
        <w:textAlignment w:val="auto"/>
        <w:rPr>
          <w:b/>
          <w:lang w:eastAsia="en-GB"/>
        </w:rPr>
      </w:pPr>
      <w:bookmarkStart w:id="4" w:name="_Ref213069248"/>
      <w:r>
        <w:br w:type="page"/>
      </w:r>
    </w:p>
    <w:p w14:paraId="4D40842E" w14:textId="43C568AC" w:rsidR="0035662A" w:rsidRDefault="0035662A" w:rsidP="003A0B18">
      <w:pPr>
        <w:pStyle w:val="Caption"/>
        <w:keepNext/>
        <w:jc w:val="center"/>
      </w:pPr>
      <w:r>
        <w:lastRenderedPageBreak/>
        <w:t xml:space="preserve">Table </w:t>
      </w:r>
      <w:r>
        <w:fldChar w:fldCharType="begin"/>
      </w:r>
      <w:r>
        <w:instrText xml:space="preserve"> SEQ Table \* ARABIC </w:instrText>
      </w:r>
      <w:r>
        <w:fldChar w:fldCharType="separate"/>
      </w:r>
      <w:r w:rsidR="003A0B18">
        <w:rPr>
          <w:noProof/>
        </w:rPr>
        <w:t>1</w:t>
      </w:r>
      <w:r>
        <w:fldChar w:fldCharType="end"/>
      </w:r>
      <w:bookmarkEnd w:id="4"/>
      <w:r>
        <w:t>. Some examples of the 1st ambiguity in 5G RRC signalling for UE configuration</w:t>
      </w:r>
    </w:p>
    <w:tbl>
      <w:tblPr>
        <w:tblStyle w:val="TableGrid"/>
        <w:tblW w:w="0" w:type="auto"/>
        <w:tblLook w:val="04A0" w:firstRow="1" w:lastRow="0" w:firstColumn="1" w:lastColumn="0" w:noHBand="0" w:noVBand="1"/>
      </w:tblPr>
      <w:tblGrid>
        <w:gridCol w:w="2821"/>
        <w:gridCol w:w="4415"/>
        <w:gridCol w:w="2959"/>
      </w:tblGrid>
      <w:tr w:rsidR="00862601" w14:paraId="3285EE29" w14:textId="77777777" w:rsidTr="003A0B18">
        <w:tc>
          <w:tcPr>
            <w:tcW w:w="2821" w:type="dxa"/>
            <w:vAlign w:val="center"/>
          </w:tcPr>
          <w:p w14:paraId="29DC3225" w14:textId="2C8F595A" w:rsidR="00D51803" w:rsidRPr="003A0B18" w:rsidRDefault="00D51803" w:rsidP="003A0B18">
            <w:pPr>
              <w:jc w:val="left"/>
              <w:rPr>
                <w:b/>
                <w:bCs/>
                <w:sz w:val="20"/>
                <w:szCs w:val="20"/>
                <w:lang w:val="x-none"/>
              </w:rPr>
            </w:pPr>
            <w:r w:rsidRPr="003A0B18">
              <w:rPr>
                <w:b/>
                <w:bCs/>
                <w:sz w:val="20"/>
                <w:szCs w:val="20"/>
                <w:lang w:val="x-none"/>
              </w:rPr>
              <w:t>IE</w:t>
            </w:r>
          </w:p>
        </w:tc>
        <w:tc>
          <w:tcPr>
            <w:tcW w:w="4415" w:type="dxa"/>
            <w:vAlign w:val="center"/>
          </w:tcPr>
          <w:p w14:paraId="7F7C714E" w14:textId="70F0C86B" w:rsidR="00D51803" w:rsidRPr="003A0B18" w:rsidRDefault="00D51803" w:rsidP="003A0B18">
            <w:pPr>
              <w:jc w:val="left"/>
              <w:rPr>
                <w:b/>
                <w:bCs/>
                <w:sz w:val="20"/>
                <w:szCs w:val="20"/>
                <w:lang w:val="x-none"/>
              </w:rPr>
            </w:pPr>
            <w:r w:rsidRPr="003A0B18">
              <w:rPr>
                <w:b/>
                <w:bCs/>
                <w:sz w:val="20"/>
                <w:szCs w:val="20"/>
                <w:lang w:val="x-none"/>
              </w:rPr>
              <w:t>Field</w:t>
            </w:r>
          </w:p>
        </w:tc>
        <w:tc>
          <w:tcPr>
            <w:tcW w:w="2959" w:type="dxa"/>
            <w:vAlign w:val="center"/>
          </w:tcPr>
          <w:p w14:paraId="6413C28E" w14:textId="1AD1D1BF" w:rsidR="00D51803" w:rsidRPr="003A0B18" w:rsidRDefault="00D51803" w:rsidP="003A0B18">
            <w:pPr>
              <w:jc w:val="left"/>
              <w:rPr>
                <w:b/>
                <w:bCs/>
                <w:sz w:val="20"/>
                <w:szCs w:val="20"/>
                <w:lang w:val="x-none"/>
              </w:rPr>
            </w:pPr>
            <w:r w:rsidRPr="003A0B18">
              <w:rPr>
                <w:b/>
                <w:bCs/>
                <w:sz w:val="20"/>
                <w:szCs w:val="20"/>
                <w:lang w:val="x-none"/>
              </w:rPr>
              <w:t>Explanation</w:t>
            </w:r>
            <w:r w:rsidR="00CD46BE" w:rsidRPr="00D270FA">
              <w:rPr>
                <w:b/>
                <w:bCs/>
                <w:sz w:val="20"/>
                <w:szCs w:val="20"/>
                <w:lang w:val="x-none"/>
              </w:rPr>
              <w:t xml:space="preserve"> of the ambiguity</w:t>
            </w:r>
          </w:p>
        </w:tc>
      </w:tr>
      <w:tr w:rsidR="00862601" w14:paraId="5A5BF374" w14:textId="77777777" w:rsidTr="003A0B18">
        <w:tc>
          <w:tcPr>
            <w:tcW w:w="2821" w:type="dxa"/>
          </w:tcPr>
          <w:p w14:paraId="74ACB6A3" w14:textId="4FB10C97" w:rsidR="00D51803" w:rsidRPr="003A0B18" w:rsidRDefault="00D51803" w:rsidP="003A0B18">
            <w:pPr>
              <w:jc w:val="left"/>
              <w:rPr>
                <w:rFonts w:ascii="Courier New" w:hAnsi="Courier New" w:cs="Courier New"/>
                <w:sz w:val="14"/>
                <w:szCs w:val="14"/>
                <w:lang w:val="x-none"/>
              </w:rPr>
            </w:pPr>
            <w:r w:rsidRPr="003A0B18">
              <w:rPr>
                <w:rFonts w:ascii="Courier New" w:hAnsi="Courier New" w:cs="Courier New"/>
                <w:sz w:val="14"/>
                <w:szCs w:val="14"/>
                <w:lang w:val="x-none"/>
              </w:rPr>
              <w:t>BeamFailureRecoveryConfig</w:t>
            </w:r>
          </w:p>
        </w:tc>
        <w:tc>
          <w:tcPr>
            <w:tcW w:w="4415" w:type="dxa"/>
          </w:tcPr>
          <w:p w14:paraId="20E790AA" w14:textId="5BEEC3B0" w:rsidR="00D51803" w:rsidRPr="003A0B18" w:rsidRDefault="00D51803" w:rsidP="003A0B18">
            <w:pPr>
              <w:jc w:val="left"/>
              <w:rPr>
                <w:rFonts w:ascii="Courier New" w:hAnsi="Courier New" w:cs="Courier New"/>
                <w:sz w:val="14"/>
                <w:szCs w:val="14"/>
              </w:rPr>
            </w:pPr>
            <w:r w:rsidRPr="003A0B18">
              <w:rPr>
                <w:rFonts w:ascii="Courier New" w:hAnsi="Courier New" w:cs="Courier New"/>
                <w:sz w:val="14"/>
                <w:szCs w:val="14"/>
              </w:rPr>
              <w:t>rach-ConfigBFR</w:t>
            </w:r>
            <w:r w:rsidR="00862601" w:rsidRPr="003A0B18">
              <w:rPr>
                <w:rFonts w:ascii="Courier New" w:hAnsi="Courier New" w:cs="Courier New"/>
                <w:sz w:val="14"/>
                <w:szCs w:val="14"/>
              </w:rPr>
              <w:t xml:space="preserve"> </w:t>
            </w:r>
            <w:r w:rsidRPr="003A0B18">
              <w:rPr>
                <w:rFonts w:ascii="Courier New" w:hAnsi="Courier New" w:cs="Courier New"/>
                <w:sz w:val="14"/>
                <w:szCs w:val="14"/>
              </w:rPr>
              <w:t>RACH-ConfigGeneric</w:t>
            </w:r>
            <w:r w:rsidR="00862601">
              <w:rPr>
                <w:rFonts w:ascii="Courier New" w:hAnsi="Courier New" w:cs="Courier New"/>
                <w:sz w:val="14"/>
                <w:szCs w:val="14"/>
              </w:rPr>
              <w:t xml:space="preserve"> </w:t>
            </w:r>
            <w:r w:rsidRPr="003A0B18">
              <w:rPr>
                <w:rFonts w:ascii="Courier New" w:hAnsi="Courier New" w:cs="Courier New"/>
                <w:color w:val="993366"/>
                <w:sz w:val="14"/>
                <w:szCs w:val="14"/>
              </w:rPr>
              <w:t>OPTIONAL</w:t>
            </w:r>
            <w:r w:rsidRPr="003A0B18">
              <w:rPr>
                <w:rFonts w:ascii="Courier New" w:hAnsi="Courier New" w:cs="Courier New"/>
                <w:sz w:val="14"/>
                <w:szCs w:val="14"/>
              </w:rPr>
              <w:t xml:space="preserve">, </w:t>
            </w:r>
            <w:r w:rsidRPr="003A0B18">
              <w:rPr>
                <w:rFonts w:ascii="Courier New" w:hAnsi="Courier New" w:cs="Courier New"/>
                <w:color w:val="808080"/>
                <w:sz w:val="14"/>
                <w:szCs w:val="14"/>
              </w:rPr>
              <w:t>-- Need M</w:t>
            </w:r>
          </w:p>
        </w:tc>
        <w:tc>
          <w:tcPr>
            <w:tcW w:w="2959" w:type="dxa"/>
          </w:tcPr>
          <w:p w14:paraId="6EA59090" w14:textId="28F9B009" w:rsidR="00D51803" w:rsidRPr="003A0B18" w:rsidRDefault="00D51803" w:rsidP="003A0B18">
            <w:pPr>
              <w:jc w:val="left"/>
              <w:rPr>
                <w:sz w:val="16"/>
                <w:szCs w:val="16"/>
                <w:lang w:val="x-none"/>
              </w:rPr>
            </w:pPr>
            <w:r>
              <w:rPr>
                <w:sz w:val="16"/>
                <w:szCs w:val="16"/>
                <w:lang w:val="x-none"/>
              </w:rPr>
              <w:t>Beam failure recovery configuration can be configured without random access parameters</w:t>
            </w:r>
          </w:p>
        </w:tc>
      </w:tr>
      <w:tr w:rsidR="00862601" w14:paraId="0F5F14D4" w14:textId="77777777" w:rsidTr="003A0B18">
        <w:tc>
          <w:tcPr>
            <w:tcW w:w="2821" w:type="dxa"/>
          </w:tcPr>
          <w:p w14:paraId="21F3E4C7" w14:textId="15C9F0DF" w:rsidR="00D51803" w:rsidRPr="003A0B18" w:rsidRDefault="00D51803" w:rsidP="003A0B18">
            <w:pPr>
              <w:jc w:val="left"/>
              <w:rPr>
                <w:rFonts w:ascii="Courier New" w:hAnsi="Courier New" w:cs="Courier New"/>
                <w:sz w:val="14"/>
                <w:szCs w:val="14"/>
                <w:lang w:val="x-none"/>
              </w:rPr>
            </w:pPr>
            <w:r w:rsidRPr="003A0B18">
              <w:rPr>
                <w:rFonts w:ascii="Courier New" w:hAnsi="Courier New" w:cs="Courier New"/>
                <w:sz w:val="14"/>
                <w:szCs w:val="14"/>
                <w:lang w:val="x-none"/>
              </w:rPr>
              <w:t>BeamFailureRecoveryRSConfig</w:t>
            </w:r>
          </w:p>
        </w:tc>
        <w:tc>
          <w:tcPr>
            <w:tcW w:w="4415" w:type="dxa"/>
          </w:tcPr>
          <w:p w14:paraId="249C6216" w14:textId="5F2B06B5" w:rsidR="00D51803" w:rsidRPr="003A0B18" w:rsidRDefault="00D51803" w:rsidP="003A0B18">
            <w:pPr>
              <w:jc w:val="left"/>
              <w:rPr>
                <w:rFonts w:ascii="Courier New" w:hAnsi="Courier New" w:cs="Courier New"/>
                <w:sz w:val="14"/>
                <w:szCs w:val="14"/>
                <w:lang w:val="x-none"/>
              </w:rPr>
            </w:pPr>
            <w:r w:rsidRPr="003A0B18">
              <w:rPr>
                <w:rFonts w:ascii="Courier New" w:hAnsi="Courier New" w:cs="Courier New"/>
                <w:sz w:val="14"/>
                <w:szCs w:val="14"/>
              </w:rPr>
              <w:t>rsrp-ThresholdBFR-r16</w:t>
            </w:r>
            <w:r w:rsidR="00862601" w:rsidRPr="003A0B18">
              <w:rPr>
                <w:rFonts w:ascii="Courier New" w:hAnsi="Courier New" w:cs="Courier New"/>
                <w:sz w:val="14"/>
                <w:szCs w:val="14"/>
              </w:rPr>
              <w:t xml:space="preserve"> </w:t>
            </w:r>
            <w:r w:rsidRPr="003A0B18">
              <w:rPr>
                <w:rFonts w:ascii="Courier New" w:hAnsi="Courier New" w:cs="Courier New"/>
                <w:sz w:val="14"/>
                <w:szCs w:val="14"/>
              </w:rPr>
              <w:t>RSRP-Range</w:t>
            </w:r>
            <w:r w:rsidR="00862601">
              <w:rPr>
                <w:rFonts w:ascii="Courier New" w:hAnsi="Courier New" w:cs="Courier New"/>
                <w:sz w:val="14"/>
                <w:szCs w:val="14"/>
              </w:rPr>
              <w:t xml:space="preserve"> </w:t>
            </w:r>
            <w:r w:rsidRPr="003A0B18">
              <w:rPr>
                <w:rFonts w:ascii="Courier New" w:hAnsi="Courier New" w:cs="Courier New"/>
                <w:color w:val="993366"/>
                <w:sz w:val="14"/>
                <w:szCs w:val="14"/>
              </w:rPr>
              <w:t>OPTIONAL</w:t>
            </w:r>
            <w:r w:rsidRPr="003A0B18">
              <w:rPr>
                <w:rFonts w:ascii="Courier New" w:hAnsi="Courier New" w:cs="Courier New"/>
                <w:sz w:val="14"/>
                <w:szCs w:val="14"/>
              </w:rPr>
              <w:t xml:space="preserve">, </w:t>
            </w:r>
            <w:r w:rsidRPr="003A0B18">
              <w:rPr>
                <w:rFonts w:ascii="Courier New" w:hAnsi="Courier New" w:cs="Courier New"/>
                <w:color w:val="808080"/>
                <w:sz w:val="14"/>
                <w:szCs w:val="14"/>
              </w:rPr>
              <w:t>-- Need M</w:t>
            </w:r>
          </w:p>
        </w:tc>
        <w:tc>
          <w:tcPr>
            <w:tcW w:w="2959" w:type="dxa"/>
          </w:tcPr>
          <w:p w14:paraId="1E6BBDE3" w14:textId="47DFD96C" w:rsidR="00D51803" w:rsidRPr="003A0B18" w:rsidRDefault="00D51803" w:rsidP="003A0B18">
            <w:pPr>
              <w:jc w:val="left"/>
              <w:rPr>
                <w:sz w:val="16"/>
                <w:szCs w:val="16"/>
                <w:lang w:val="x-none"/>
              </w:rPr>
            </w:pPr>
            <w:r>
              <w:rPr>
                <w:sz w:val="16"/>
                <w:szCs w:val="16"/>
                <w:lang w:val="x-none"/>
              </w:rPr>
              <w:t>Beam failure RS configuration can be configured without RSPR threshold</w:t>
            </w:r>
          </w:p>
        </w:tc>
      </w:tr>
      <w:tr w:rsidR="00862601" w14:paraId="07259FC8" w14:textId="77777777" w:rsidTr="003A0B18">
        <w:tc>
          <w:tcPr>
            <w:tcW w:w="2821" w:type="dxa"/>
          </w:tcPr>
          <w:p w14:paraId="5AD2AAF4" w14:textId="572531FD" w:rsidR="00D51803" w:rsidRPr="003A0B18" w:rsidRDefault="00D51803" w:rsidP="003A0B18">
            <w:pPr>
              <w:jc w:val="left"/>
              <w:rPr>
                <w:rFonts w:ascii="Courier New" w:hAnsi="Courier New" w:cs="Courier New"/>
                <w:sz w:val="14"/>
                <w:szCs w:val="14"/>
                <w:lang w:val="x-none"/>
              </w:rPr>
            </w:pPr>
            <w:r w:rsidRPr="003A0B18">
              <w:rPr>
                <w:rFonts w:ascii="Courier New" w:hAnsi="Courier New" w:cs="Courier New"/>
                <w:sz w:val="14"/>
                <w:szCs w:val="14"/>
                <w:lang w:val="x-none"/>
              </w:rPr>
              <w:t>CandidateT</w:t>
            </w:r>
            <w:r w:rsidR="00B91679">
              <w:rPr>
                <w:rFonts w:ascii="Courier New" w:hAnsi="Courier New" w:cs="Courier New"/>
                <w:sz w:val="14"/>
                <w:szCs w:val="14"/>
                <w:lang w:val="x-none"/>
              </w:rPr>
              <w:t>C</w:t>
            </w:r>
            <w:r w:rsidRPr="003A0B18">
              <w:rPr>
                <w:rFonts w:ascii="Courier New" w:hAnsi="Courier New" w:cs="Courier New"/>
                <w:sz w:val="14"/>
                <w:szCs w:val="14"/>
                <w:lang w:val="x-none"/>
              </w:rPr>
              <w:t>I-State-r18</w:t>
            </w:r>
          </w:p>
        </w:tc>
        <w:tc>
          <w:tcPr>
            <w:tcW w:w="4415" w:type="dxa"/>
          </w:tcPr>
          <w:p w14:paraId="5EF53D7D" w14:textId="44244848" w:rsidR="00D51803" w:rsidRPr="003A0B18" w:rsidRDefault="00862601" w:rsidP="003A0B18">
            <w:pPr>
              <w:jc w:val="left"/>
              <w:rPr>
                <w:rFonts w:ascii="Courier New" w:hAnsi="Courier New" w:cs="Courier New"/>
                <w:sz w:val="14"/>
                <w:szCs w:val="14"/>
                <w:lang w:val="x-none"/>
              </w:rPr>
            </w:pPr>
            <w:r w:rsidRPr="003A0B18">
              <w:rPr>
                <w:rFonts w:ascii="Courier New" w:hAnsi="Courier New" w:cs="Courier New"/>
                <w:sz w:val="14"/>
                <w:szCs w:val="14"/>
              </w:rPr>
              <w:t>pathlossReferenceRS-Id-r18 PathlossReferenceRS-Id-r17</w:t>
            </w:r>
            <w:r>
              <w:rPr>
                <w:rFonts w:ascii="Courier New" w:hAnsi="Courier New" w:cs="Courier New"/>
                <w:sz w:val="14"/>
                <w:szCs w:val="14"/>
              </w:rPr>
              <w:t xml:space="preserve"> </w:t>
            </w:r>
            <w:r w:rsidRPr="003A0B18">
              <w:rPr>
                <w:rFonts w:ascii="Courier New" w:hAnsi="Courier New" w:cs="Courier New"/>
                <w:color w:val="993366"/>
                <w:sz w:val="14"/>
                <w:szCs w:val="14"/>
              </w:rPr>
              <w:t>OPTIONAL</w:t>
            </w:r>
            <w:r w:rsidRPr="003A0B18">
              <w:rPr>
                <w:rFonts w:ascii="Courier New" w:hAnsi="Courier New" w:cs="Courier New"/>
                <w:sz w:val="14"/>
                <w:szCs w:val="14"/>
              </w:rPr>
              <w:t>,</w:t>
            </w:r>
            <w:r>
              <w:rPr>
                <w:rFonts w:ascii="Courier New" w:hAnsi="Courier New" w:cs="Courier New"/>
                <w:sz w:val="14"/>
                <w:szCs w:val="14"/>
              </w:rPr>
              <w:t xml:space="preserve"> </w:t>
            </w:r>
            <w:r w:rsidRPr="003A0B18">
              <w:rPr>
                <w:rFonts w:ascii="Courier New" w:hAnsi="Courier New" w:cs="Courier New"/>
                <w:color w:val="808080"/>
                <w:sz w:val="14"/>
                <w:szCs w:val="14"/>
              </w:rPr>
              <w:t>-- Cond Joint</w:t>
            </w:r>
          </w:p>
        </w:tc>
        <w:tc>
          <w:tcPr>
            <w:tcW w:w="2959" w:type="dxa"/>
          </w:tcPr>
          <w:p w14:paraId="0144BF01" w14:textId="6437CB74" w:rsidR="00D51803" w:rsidRPr="003A0B18" w:rsidRDefault="00862601" w:rsidP="003A0B18">
            <w:pPr>
              <w:jc w:val="left"/>
              <w:rPr>
                <w:sz w:val="16"/>
                <w:szCs w:val="16"/>
                <w:lang w:val="x-none"/>
              </w:rPr>
            </w:pPr>
            <w:r>
              <w:rPr>
                <w:sz w:val="16"/>
                <w:szCs w:val="16"/>
                <w:lang w:val="x-none"/>
              </w:rPr>
              <w:t>TCI configuration for a candidate which uses joint TCI states can be configured without pathloss reference RS ID</w:t>
            </w:r>
          </w:p>
        </w:tc>
      </w:tr>
      <w:tr w:rsidR="00862601" w14:paraId="503767EC" w14:textId="77777777" w:rsidTr="003A0B18">
        <w:tc>
          <w:tcPr>
            <w:tcW w:w="2821" w:type="dxa"/>
          </w:tcPr>
          <w:p w14:paraId="032AD3FD" w14:textId="73CBBABE" w:rsidR="00862601" w:rsidRPr="003A0B18" w:rsidRDefault="00862601" w:rsidP="00D51803">
            <w:pPr>
              <w:jc w:val="left"/>
              <w:rPr>
                <w:rFonts w:ascii="Courier New" w:hAnsi="Courier New" w:cs="Courier New"/>
                <w:sz w:val="14"/>
                <w:szCs w:val="14"/>
                <w:lang w:val="x-none"/>
              </w:rPr>
            </w:pPr>
            <w:r w:rsidRPr="003A0B18">
              <w:rPr>
                <w:rFonts w:ascii="Courier New" w:hAnsi="Courier New" w:cs="Courier New"/>
                <w:sz w:val="14"/>
                <w:szCs w:val="14"/>
                <w:lang w:val="x-none"/>
              </w:rPr>
              <w:t>CellGroupConfig</w:t>
            </w:r>
          </w:p>
        </w:tc>
        <w:tc>
          <w:tcPr>
            <w:tcW w:w="4415" w:type="dxa"/>
          </w:tcPr>
          <w:p w14:paraId="1D134D14" w14:textId="1F4A0D1B" w:rsidR="00862601" w:rsidRPr="003A0B18" w:rsidRDefault="00862601" w:rsidP="00D51803">
            <w:pPr>
              <w:jc w:val="left"/>
              <w:rPr>
                <w:rFonts w:ascii="Courier New" w:hAnsi="Courier New" w:cs="Courier New"/>
                <w:sz w:val="14"/>
                <w:szCs w:val="14"/>
              </w:rPr>
            </w:pPr>
            <w:r w:rsidRPr="003A0B18">
              <w:rPr>
                <w:rFonts w:ascii="Courier New" w:hAnsi="Courier New" w:cs="Courier New"/>
                <w:sz w:val="14"/>
                <w:szCs w:val="14"/>
              </w:rPr>
              <w:t>spCellConfig SpCellConfig</w:t>
            </w:r>
            <w:r>
              <w:rPr>
                <w:rFonts w:ascii="Courier New" w:hAnsi="Courier New" w:cs="Courier New"/>
                <w:sz w:val="14"/>
                <w:szCs w:val="14"/>
              </w:rPr>
              <w:t xml:space="preserve"> </w:t>
            </w:r>
            <w:r w:rsidRPr="003A0B18">
              <w:rPr>
                <w:rFonts w:ascii="Courier New" w:hAnsi="Courier New" w:cs="Courier New"/>
                <w:color w:val="993366"/>
                <w:sz w:val="14"/>
                <w:szCs w:val="14"/>
              </w:rPr>
              <w:t>OPTIONAL</w:t>
            </w:r>
            <w:r w:rsidRPr="003A0B18">
              <w:rPr>
                <w:rFonts w:ascii="Courier New" w:hAnsi="Courier New" w:cs="Courier New"/>
                <w:sz w:val="14"/>
                <w:szCs w:val="14"/>
              </w:rPr>
              <w:t xml:space="preserve">,   </w:t>
            </w:r>
            <w:r w:rsidRPr="003A0B18">
              <w:rPr>
                <w:rFonts w:ascii="Courier New" w:hAnsi="Courier New" w:cs="Courier New"/>
                <w:color w:val="808080"/>
                <w:sz w:val="14"/>
                <w:szCs w:val="14"/>
              </w:rPr>
              <w:t>-- Need M</w:t>
            </w:r>
          </w:p>
        </w:tc>
        <w:tc>
          <w:tcPr>
            <w:tcW w:w="2959" w:type="dxa"/>
          </w:tcPr>
          <w:p w14:paraId="0880CCA4" w14:textId="42F7DD95" w:rsidR="00862601" w:rsidRPr="003A0B18" w:rsidRDefault="00862601" w:rsidP="00D51803">
            <w:pPr>
              <w:jc w:val="left"/>
              <w:rPr>
                <w:sz w:val="16"/>
                <w:szCs w:val="16"/>
              </w:rPr>
            </w:pPr>
            <w:r>
              <w:rPr>
                <w:sz w:val="16"/>
                <w:szCs w:val="16"/>
              </w:rPr>
              <w:t>Cell group (e.g., SCG) can be configured without an SpCell</w:t>
            </w:r>
          </w:p>
        </w:tc>
      </w:tr>
      <w:tr w:rsidR="00862601" w14:paraId="3E7B7DAC" w14:textId="77777777" w:rsidTr="003A0B18">
        <w:tc>
          <w:tcPr>
            <w:tcW w:w="2821" w:type="dxa"/>
          </w:tcPr>
          <w:p w14:paraId="4CE68C23" w14:textId="2BD2B46B" w:rsidR="00862601" w:rsidRPr="003A0B18" w:rsidRDefault="00862601" w:rsidP="00D51803">
            <w:pPr>
              <w:jc w:val="left"/>
              <w:rPr>
                <w:rFonts w:ascii="Courier New" w:hAnsi="Courier New" w:cs="Courier New"/>
                <w:sz w:val="14"/>
                <w:szCs w:val="14"/>
                <w:lang w:val="x-none"/>
              </w:rPr>
            </w:pPr>
            <w:r w:rsidRPr="003A0B18">
              <w:rPr>
                <w:rFonts w:ascii="Courier New" w:hAnsi="Courier New" w:cs="Courier New"/>
                <w:sz w:val="14"/>
                <w:szCs w:val="14"/>
                <w:lang w:val="x-none"/>
              </w:rPr>
              <w:t>CondReconfigToAddMod-r16</w:t>
            </w:r>
          </w:p>
        </w:tc>
        <w:tc>
          <w:tcPr>
            <w:tcW w:w="4415" w:type="dxa"/>
          </w:tcPr>
          <w:p w14:paraId="439AEA10" w14:textId="13B305B6" w:rsidR="00862601" w:rsidRPr="003A0B18" w:rsidRDefault="00862601" w:rsidP="00D51803">
            <w:pPr>
              <w:jc w:val="left"/>
              <w:rPr>
                <w:rFonts w:ascii="Courier New" w:hAnsi="Courier New" w:cs="Courier New"/>
                <w:sz w:val="14"/>
                <w:szCs w:val="14"/>
              </w:rPr>
            </w:pPr>
            <w:r w:rsidRPr="003A0B18">
              <w:rPr>
                <w:rFonts w:ascii="Courier New" w:hAnsi="Courier New" w:cs="Courier New"/>
                <w:sz w:val="14"/>
                <w:szCs w:val="14"/>
              </w:rPr>
              <w:t xml:space="preserve">condRRCReconfig-r16 </w:t>
            </w:r>
            <w:r w:rsidRPr="003A0B18">
              <w:rPr>
                <w:rFonts w:ascii="Courier New" w:hAnsi="Courier New" w:cs="Courier New"/>
                <w:color w:val="993366"/>
                <w:sz w:val="14"/>
                <w:szCs w:val="14"/>
              </w:rPr>
              <w:t>OCTET</w:t>
            </w:r>
            <w:r w:rsidRPr="003A0B18">
              <w:rPr>
                <w:rFonts w:ascii="Courier New" w:hAnsi="Courier New" w:cs="Courier New"/>
                <w:sz w:val="14"/>
                <w:szCs w:val="14"/>
              </w:rPr>
              <w:t xml:space="preserve"> </w:t>
            </w:r>
            <w:r w:rsidRPr="003A0B18">
              <w:rPr>
                <w:rFonts w:ascii="Courier New" w:hAnsi="Courier New" w:cs="Courier New"/>
                <w:color w:val="993366"/>
                <w:sz w:val="14"/>
                <w:szCs w:val="14"/>
              </w:rPr>
              <w:t>STRING</w:t>
            </w:r>
            <w:r w:rsidRPr="003A0B18">
              <w:rPr>
                <w:rFonts w:ascii="Courier New" w:hAnsi="Courier New" w:cs="Courier New"/>
                <w:sz w:val="14"/>
                <w:szCs w:val="14"/>
              </w:rPr>
              <w:t xml:space="preserve"> (CONTAINING RRCReconfiguration)</w:t>
            </w:r>
            <w:r w:rsidR="0035662A">
              <w:rPr>
                <w:rFonts w:ascii="Courier New" w:hAnsi="Courier New" w:cs="Courier New"/>
                <w:sz w:val="14"/>
                <w:szCs w:val="14"/>
              </w:rPr>
              <w:t xml:space="preserve"> </w:t>
            </w:r>
            <w:r w:rsidRPr="003A0B18">
              <w:rPr>
                <w:rFonts w:ascii="Courier New" w:hAnsi="Courier New" w:cs="Courier New"/>
                <w:color w:val="993366"/>
                <w:sz w:val="14"/>
                <w:szCs w:val="14"/>
              </w:rPr>
              <w:t>OPTIONAL</w:t>
            </w:r>
            <w:r w:rsidRPr="003A0B18">
              <w:rPr>
                <w:rFonts w:ascii="Courier New" w:hAnsi="Courier New" w:cs="Courier New"/>
                <w:sz w:val="14"/>
                <w:szCs w:val="14"/>
              </w:rPr>
              <w:t xml:space="preserve">,  </w:t>
            </w:r>
            <w:r w:rsidRPr="003A0B18">
              <w:rPr>
                <w:rFonts w:ascii="Courier New" w:hAnsi="Courier New" w:cs="Courier New"/>
                <w:color w:val="808080"/>
                <w:sz w:val="14"/>
                <w:szCs w:val="14"/>
              </w:rPr>
              <w:t>-- Cond condReconfigAdd</w:t>
            </w:r>
          </w:p>
        </w:tc>
        <w:tc>
          <w:tcPr>
            <w:tcW w:w="2959" w:type="dxa"/>
          </w:tcPr>
          <w:p w14:paraId="29124F5D" w14:textId="260B3322" w:rsidR="00862601" w:rsidRDefault="00862601" w:rsidP="00D51803">
            <w:pPr>
              <w:jc w:val="left"/>
              <w:rPr>
                <w:sz w:val="16"/>
                <w:szCs w:val="16"/>
              </w:rPr>
            </w:pPr>
            <w:r>
              <w:rPr>
                <w:sz w:val="16"/>
                <w:szCs w:val="16"/>
              </w:rPr>
              <w:t xml:space="preserve">Conditional reconfiguration can be configured without RRC message to be applied </w:t>
            </w:r>
          </w:p>
        </w:tc>
      </w:tr>
      <w:tr w:rsidR="00862601" w14:paraId="3EFD7760" w14:textId="77777777" w:rsidTr="003A0B18">
        <w:tc>
          <w:tcPr>
            <w:tcW w:w="2821" w:type="dxa"/>
          </w:tcPr>
          <w:p w14:paraId="5E027D6C" w14:textId="78FE778D" w:rsidR="00862601" w:rsidRPr="003A0B18" w:rsidRDefault="00862601" w:rsidP="00D51803">
            <w:pPr>
              <w:jc w:val="left"/>
              <w:rPr>
                <w:rFonts w:ascii="Courier New" w:hAnsi="Courier New" w:cs="Courier New"/>
                <w:sz w:val="14"/>
                <w:szCs w:val="14"/>
                <w:lang w:val="x-none"/>
              </w:rPr>
            </w:pPr>
            <w:r w:rsidRPr="003A0B18">
              <w:rPr>
                <w:rFonts w:ascii="Courier New" w:hAnsi="Courier New" w:cs="Courier New"/>
                <w:sz w:val="14"/>
                <w:szCs w:val="14"/>
                <w:lang w:val="x-none"/>
              </w:rPr>
              <w:t>CSI-IM-Resource</w:t>
            </w:r>
          </w:p>
        </w:tc>
        <w:tc>
          <w:tcPr>
            <w:tcW w:w="4415" w:type="dxa"/>
            <w:shd w:val="clear" w:color="auto" w:fill="FFFFFF" w:themeFill="background1"/>
          </w:tcPr>
          <w:p w14:paraId="20927CA4" w14:textId="12524FCE" w:rsidR="00862601" w:rsidRPr="003A0B18" w:rsidRDefault="00862601" w:rsidP="00862601">
            <w:pPr>
              <w:jc w:val="left"/>
              <w:rPr>
                <w:rFonts w:ascii="Courier New" w:hAnsi="Courier New" w:cs="Courier New"/>
                <w:sz w:val="14"/>
                <w:szCs w:val="14"/>
              </w:rPr>
            </w:pPr>
            <w:r w:rsidRPr="003A0B18">
              <w:rPr>
                <w:rFonts w:ascii="Courier New" w:hAnsi="Courier New" w:cs="Courier New"/>
                <w:sz w:val="14"/>
                <w:szCs w:val="14"/>
              </w:rPr>
              <w:t xml:space="preserve">csi-IM-ResourceElementPattern </w:t>
            </w:r>
            <w:r w:rsidRPr="003A0B18">
              <w:rPr>
                <w:rFonts w:ascii="Courier New" w:hAnsi="Courier New" w:cs="Courier New"/>
                <w:color w:val="993366"/>
                <w:sz w:val="14"/>
                <w:szCs w:val="14"/>
              </w:rPr>
              <w:t>CHOICE</w:t>
            </w:r>
            <w:r w:rsidRPr="003A0B18">
              <w:rPr>
                <w:rFonts w:ascii="Courier New" w:hAnsi="Courier New" w:cs="Courier New"/>
                <w:sz w:val="14"/>
                <w:szCs w:val="14"/>
              </w:rPr>
              <w:t xml:space="preserve"> {</w:t>
            </w:r>
            <w:r w:rsidRPr="003A0B18">
              <w:rPr>
                <w:rFonts w:ascii="Courier New" w:hAnsi="Courier New" w:cs="Courier New"/>
                <w:sz w:val="14"/>
                <w:szCs w:val="14"/>
              </w:rPr>
              <w:br/>
            </w:r>
            <w:r w:rsidR="0035662A">
              <w:rPr>
                <w:rFonts w:ascii="Courier New" w:hAnsi="Courier New" w:cs="Courier New"/>
                <w:sz w:val="14"/>
                <w:szCs w:val="14"/>
              </w:rPr>
              <w:t xml:space="preserve">  &lt;omit the irrelevant part&gt;</w:t>
            </w:r>
            <w:r w:rsidR="0035662A">
              <w:rPr>
                <w:rFonts w:ascii="Courier New" w:hAnsi="Courier New" w:cs="Courier New"/>
                <w:sz w:val="14"/>
                <w:szCs w:val="14"/>
              </w:rPr>
              <w:br/>
            </w:r>
            <w:r w:rsidRPr="003A0B18">
              <w:rPr>
                <w:rFonts w:ascii="Courier New" w:hAnsi="Courier New" w:cs="Courier New"/>
                <w:sz w:val="14"/>
                <w:szCs w:val="14"/>
              </w:rPr>
              <w:t>}</w:t>
            </w:r>
            <w:r>
              <w:rPr>
                <w:rFonts w:ascii="Courier New" w:hAnsi="Courier New" w:cs="Courier New"/>
                <w:sz w:val="14"/>
                <w:szCs w:val="14"/>
              </w:rPr>
              <w:t xml:space="preserve"> </w:t>
            </w:r>
            <w:r w:rsidRPr="003A0B18">
              <w:rPr>
                <w:rFonts w:ascii="Courier New" w:hAnsi="Courier New" w:cs="Courier New"/>
                <w:color w:val="993366"/>
                <w:sz w:val="14"/>
                <w:szCs w:val="14"/>
              </w:rPr>
              <w:t>OPTIONAL</w:t>
            </w:r>
            <w:r w:rsidRPr="003A0B18">
              <w:rPr>
                <w:rFonts w:ascii="Courier New" w:hAnsi="Courier New" w:cs="Courier New"/>
                <w:sz w:val="14"/>
                <w:szCs w:val="14"/>
              </w:rPr>
              <w:t xml:space="preserve">,   </w:t>
            </w:r>
            <w:r w:rsidRPr="003A0B18">
              <w:rPr>
                <w:rFonts w:ascii="Courier New" w:hAnsi="Courier New" w:cs="Courier New"/>
                <w:color w:val="808080"/>
                <w:sz w:val="14"/>
                <w:szCs w:val="14"/>
              </w:rPr>
              <w:t>-- Need M</w:t>
            </w:r>
            <w:r w:rsidRPr="003A0B18">
              <w:rPr>
                <w:rFonts w:ascii="Courier New" w:hAnsi="Courier New" w:cs="Courier New"/>
                <w:sz w:val="14"/>
                <w:szCs w:val="14"/>
              </w:rPr>
              <w:br/>
            </w:r>
          </w:p>
        </w:tc>
        <w:tc>
          <w:tcPr>
            <w:tcW w:w="2959" w:type="dxa"/>
          </w:tcPr>
          <w:p w14:paraId="2EC46257" w14:textId="399D82BC" w:rsidR="00862601" w:rsidRDefault="00862601" w:rsidP="00D51803">
            <w:pPr>
              <w:jc w:val="left"/>
              <w:rPr>
                <w:sz w:val="16"/>
                <w:szCs w:val="16"/>
              </w:rPr>
            </w:pPr>
            <w:r>
              <w:rPr>
                <w:sz w:val="16"/>
                <w:szCs w:val="16"/>
              </w:rPr>
              <w:t>CSI IM resource can be configured without RE pattern</w:t>
            </w:r>
          </w:p>
        </w:tc>
      </w:tr>
      <w:tr w:rsidR="00862601" w14:paraId="546EFB42" w14:textId="77777777" w:rsidTr="003A0B18">
        <w:tc>
          <w:tcPr>
            <w:tcW w:w="2821" w:type="dxa"/>
          </w:tcPr>
          <w:p w14:paraId="473603FC" w14:textId="31D7D190" w:rsidR="00862601" w:rsidRPr="00862601" w:rsidRDefault="00862601" w:rsidP="00D51803">
            <w:pPr>
              <w:jc w:val="left"/>
              <w:rPr>
                <w:rFonts w:ascii="Courier New" w:hAnsi="Courier New" w:cs="Courier New"/>
                <w:sz w:val="14"/>
                <w:szCs w:val="14"/>
                <w:lang w:val="x-none"/>
              </w:rPr>
            </w:pPr>
            <w:r>
              <w:rPr>
                <w:rFonts w:ascii="Courier New" w:hAnsi="Courier New" w:cs="Courier New"/>
                <w:sz w:val="14"/>
                <w:szCs w:val="14"/>
                <w:lang w:val="x-none"/>
              </w:rPr>
              <w:t>DRB-ToAddMod</w:t>
            </w:r>
          </w:p>
        </w:tc>
        <w:tc>
          <w:tcPr>
            <w:tcW w:w="4415" w:type="dxa"/>
            <w:shd w:val="clear" w:color="auto" w:fill="FFFFFF" w:themeFill="background1"/>
          </w:tcPr>
          <w:p w14:paraId="7E43BB93" w14:textId="4119223A" w:rsidR="00862601" w:rsidRPr="003A0B18" w:rsidRDefault="00B91679" w:rsidP="00862601">
            <w:pPr>
              <w:jc w:val="left"/>
              <w:rPr>
                <w:rFonts w:ascii="Courier New" w:hAnsi="Courier New" w:cs="Courier New"/>
                <w:sz w:val="16"/>
                <w:szCs w:val="16"/>
              </w:rPr>
            </w:pPr>
            <w:r w:rsidRPr="003A0B18">
              <w:rPr>
                <w:rFonts w:ascii="Courier New" w:hAnsi="Courier New" w:cs="Courier New"/>
                <w:sz w:val="14"/>
                <w:szCs w:val="14"/>
              </w:rPr>
              <w:t>cnAssociation</w:t>
            </w:r>
            <w:r>
              <w:rPr>
                <w:rFonts w:ascii="Courier New" w:hAnsi="Courier New" w:cs="Courier New"/>
                <w:sz w:val="14"/>
                <w:szCs w:val="14"/>
              </w:rPr>
              <w:t xml:space="preserve"> </w:t>
            </w:r>
            <w:r w:rsidRPr="003A0B18">
              <w:rPr>
                <w:rFonts w:ascii="Courier New" w:hAnsi="Courier New" w:cs="Courier New"/>
                <w:color w:val="993366"/>
                <w:sz w:val="14"/>
                <w:szCs w:val="14"/>
              </w:rPr>
              <w:t>CHOICE</w:t>
            </w:r>
            <w:r w:rsidRPr="003A0B18">
              <w:rPr>
                <w:rFonts w:ascii="Courier New" w:hAnsi="Courier New" w:cs="Courier New"/>
                <w:sz w:val="14"/>
                <w:szCs w:val="14"/>
              </w:rPr>
              <w:t xml:space="preserve"> {</w:t>
            </w:r>
            <w:r w:rsidRPr="003A0B18">
              <w:rPr>
                <w:rFonts w:ascii="Courier New" w:hAnsi="Courier New" w:cs="Courier New"/>
                <w:sz w:val="14"/>
                <w:szCs w:val="14"/>
              </w:rPr>
              <w:br/>
            </w:r>
            <w:r>
              <w:rPr>
                <w:rFonts w:ascii="Courier New" w:hAnsi="Courier New" w:cs="Courier New"/>
                <w:sz w:val="14"/>
                <w:szCs w:val="14"/>
              </w:rPr>
              <w:t xml:space="preserve">    </w:t>
            </w:r>
            <w:r w:rsidRPr="003A0B18">
              <w:rPr>
                <w:rFonts w:ascii="Courier New" w:hAnsi="Courier New" w:cs="Courier New"/>
                <w:sz w:val="14"/>
                <w:szCs w:val="14"/>
              </w:rPr>
              <w:t>eps-BearerIdentity</w:t>
            </w:r>
            <w:r>
              <w:rPr>
                <w:rFonts w:ascii="Courier New" w:hAnsi="Courier New" w:cs="Courier New"/>
                <w:sz w:val="14"/>
                <w:szCs w:val="14"/>
              </w:rPr>
              <w:t xml:space="preserve"> </w:t>
            </w:r>
            <w:r w:rsidRPr="003A0B18">
              <w:rPr>
                <w:rFonts w:ascii="Courier New" w:hAnsi="Courier New" w:cs="Courier New"/>
                <w:color w:val="993366"/>
                <w:sz w:val="14"/>
                <w:szCs w:val="14"/>
              </w:rPr>
              <w:t>INTEGER</w:t>
            </w:r>
            <w:r w:rsidRPr="003A0B18">
              <w:rPr>
                <w:rFonts w:ascii="Courier New" w:hAnsi="Courier New" w:cs="Courier New"/>
                <w:sz w:val="14"/>
                <w:szCs w:val="14"/>
              </w:rPr>
              <w:t xml:space="preserve"> (0..15),</w:t>
            </w:r>
            <w:r w:rsidRPr="003A0B18">
              <w:rPr>
                <w:rFonts w:ascii="Courier New" w:hAnsi="Courier New" w:cs="Courier New"/>
                <w:sz w:val="14"/>
                <w:szCs w:val="14"/>
              </w:rPr>
              <w:br/>
            </w:r>
            <w:r>
              <w:rPr>
                <w:rFonts w:ascii="Courier New" w:hAnsi="Courier New" w:cs="Courier New"/>
                <w:sz w:val="14"/>
                <w:szCs w:val="14"/>
              </w:rPr>
              <w:t xml:space="preserve">    </w:t>
            </w:r>
            <w:r w:rsidRPr="003A0B18">
              <w:rPr>
                <w:rFonts w:ascii="Courier New" w:hAnsi="Courier New" w:cs="Courier New"/>
                <w:sz w:val="14"/>
                <w:szCs w:val="14"/>
              </w:rPr>
              <w:t>sdap-Config</w:t>
            </w:r>
            <w:r>
              <w:rPr>
                <w:rFonts w:ascii="Courier New" w:hAnsi="Courier New" w:cs="Courier New"/>
                <w:sz w:val="14"/>
                <w:szCs w:val="14"/>
              </w:rPr>
              <w:t xml:space="preserve"> </w:t>
            </w:r>
            <w:r w:rsidRPr="003A0B18">
              <w:rPr>
                <w:rFonts w:ascii="Courier New" w:hAnsi="Courier New" w:cs="Courier New"/>
                <w:sz w:val="14"/>
                <w:szCs w:val="14"/>
              </w:rPr>
              <w:t>SDAP-Config</w:t>
            </w:r>
            <w:r w:rsidRPr="003A0B18">
              <w:rPr>
                <w:rFonts w:ascii="Courier New" w:hAnsi="Courier New" w:cs="Courier New"/>
                <w:sz w:val="14"/>
                <w:szCs w:val="14"/>
              </w:rPr>
              <w:br/>
              <w:t>}</w:t>
            </w:r>
            <w:r>
              <w:rPr>
                <w:rFonts w:ascii="Courier New" w:hAnsi="Courier New" w:cs="Courier New"/>
                <w:sz w:val="14"/>
                <w:szCs w:val="14"/>
              </w:rPr>
              <w:t xml:space="preserve"> </w:t>
            </w:r>
            <w:r w:rsidRPr="003A0B18">
              <w:rPr>
                <w:rFonts w:ascii="Courier New" w:hAnsi="Courier New" w:cs="Courier New"/>
                <w:color w:val="993366"/>
                <w:sz w:val="14"/>
                <w:szCs w:val="14"/>
              </w:rPr>
              <w:t>OPTIONAL</w:t>
            </w:r>
            <w:r w:rsidRPr="003A0B18">
              <w:rPr>
                <w:rFonts w:ascii="Courier New" w:hAnsi="Courier New" w:cs="Courier New"/>
                <w:sz w:val="14"/>
                <w:szCs w:val="14"/>
              </w:rPr>
              <w:t xml:space="preserve">,   </w:t>
            </w:r>
            <w:r w:rsidRPr="003A0B18">
              <w:rPr>
                <w:rFonts w:ascii="Courier New" w:hAnsi="Courier New" w:cs="Courier New"/>
                <w:color w:val="808080"/>
                <w:sz w:val="14"/>
                <w:szCs w:val="14"/>
              </w:rPr>
              <w:t>-- Cond DRBSetup</w:t>
            </w:r>
          </w:p>
        </w:tc>
        <w:tc>
          <w:tcPr>
            <w:tcW w:w="2959" w:type="dxa"/>
          </w:tcPr>
          <w:p w14:paraId="077FFF3A" w14:textId="450DF1FA" w:rsidR="00862601" w:rsidRDefault="00862601" w:rsidP="00D51803">
            <w:pPr>
              <w:jc w:val="left"/>
              <w:rPr>
                <w:sz w:val="16"/>
                <w:szCs w:val="16"/>
              </w:rPr>
            </w:pPr>
            <w:r>
              <w:rPr>
                <w:sz w:val="16"/>
                <w:szCs w:val="16"/>
              </w:rPr>
              <w:t>DRB can be configured without association to EPS bearer/</w:t>
            </w:r>
            <w:r w:rsidR="00B91679">
              <w:rPr>
                <w:sz w:val="16"/>
                <w:szCs w:val="16"/>
              </w:rPr>
              <w:t>SDAP configuration</w:t>
            </w:r>
          </w:p>
        </w:tc>
      </w:tr>
      <w:tr w:rsidR="00352AF4" w14:paraId="0089B686" w14:textId="77777777" w:rsidTr="003A0B18">
        <w:tc>
          <w:tcPr>
            <w:tcW w:w="2821" w:type="dxa"/>
          </w:tcPr>
          <w:p w14:paraId="18A9E7B0" w14:textId="674857DC" w:rsidR="00352AF4" w:rsidRDefault="00352AF4" w:rsidP="00D51803">
            <w:pPr>
              <w:jc w:val="left"/>
              <w:rPr>
                <w:rFonts w:ascii="Courier New" w:hAnsi="Courier New" w:cs="Courier New"/>
                <w:sz w:val="14"/>
                <w:szCs w:val="14"/>
                <w:lang w:val="x-none"/>
              </w:rPr>
            </w:pPr>
            <w:r>
              <w:rPr>
                <w:rFonts w:ascii="Courier New" w:hAnsi="Courier New" w:cs="Courier New"/>
                <w:sz w:val="14"/>
                <w:szCs w:val="14"/>
                <w:lang w:val="x-none"/>
              </w:rPr>
              <w:t>LTm-Candidate-r18</w:t>
            </w:r>
          </w:p>
        </w:tc>
        <w:tc>
          <w:tcPr>
            <w:tcW w:w="4415" w:type="dxa"/>
            <w:shd w:val="clear" w:color="auto" w:fill="FFFFFF" w:themeFill="background1"/>
          </w:tcPr>
          <w:p w14:paraId="4929F8A5" w14:textId="3D87479F" w:rsidR="00352AF4" w:rsidRPr="00352AF4" w:rsidRDefault="00352AF4" w:rsidP="00862601">
            <w:pPr>
              <w:jc w:val="left"/>
              <w:rPr>
                <w:rFonts w:ascii="Courier New" w:hAnsi="Courier New" w:cs="Courier New"/>
                <w:sz w:val="14"/>
                <w:szCs w:val="14"/>
              </w:rPr>
            </w:pPr>
            <w:r w:rsidRPr="003A0B18">
              <w:rPr>
                <w:rFonts w:ascii="Courier New" w:hAnsi="Courier New" w:cs="Courier New"/>
                <w:sz w:val="14"/>
                <w:szCs w:val="14"/>
              </w:rPr>
              <w:t>ltm-CandidatePCI-r18</w:t>
            </w:r>
            <w:r>
              <w:rPr>
                <w:rFonts w:ascii="Courier New" w:hAnsi="Courier New" w:cs="Courier New"/>
                <w:sz w:val="14"/>
                <w:szCs w:val="14"/>
              </w:rPr>
              <w:t xml:space="preserve"> </w:t>
            </w:r>
            <w:r w:rsidRPr="003A0B18">
              <w:rPr>
                <w:rFonts w:ascii="Courier New" w:hAnsi="Courier New" w:cs="Courier New"/>
                <w:sz w:val="14"/>
                <w:szCs w:val="14"/>
              </w:rPr>
              <w:t>PhysCellId</w:t>
            </w:r>
            <w:r>
              <w:rPr>
                <w:rFonts w:ascii="Courier New" w:hAnsi="Courier New" w:cs="Courier New"/>
                <w:sz w:val="14"/>
                <w:szCs w:val="14"/>
              </w:rPr>
              <w:t xml:space="preserve"> </w:t>
            </w:r>
            <w:r w:rsidRPr="003A0B18">
              <w:rPr>
                <w:rFonts w:ascii="Courier New" w:hAnsi="Courier New" w:cs="Courier New"/>
                <w:color w:val="993366"/>
                <w:sz w:val="14"/>
                <w:szCs w:val="14"/>
              </w:rPr>
              <w:t>OPTIONAL</w:t>
            </w:r>
            <w:r w:rsidRPr="003A0B18">
              <w:rPr>
                <w:rFonts w:ascii="Courier New" w:hAnsi="Courier New" w:cs="Courier New"/>
                <w:sz w:val="14"/>
                <w:szCs w:val="14"/>
              </w:rPr>
              <w:t xml:space="preserve">, </w:t>
            </w:r>
            <w:r w:rsidRPr="003A0B18">
              <w:rPr>
                <w:rFonts w:ascii="Courier New" w:hAnsi="Courier New" w:cs="Courier New"/>
                <w:color w:val="808080"/>
                <w:sz w:val="14"/>
                <w:szCs w:val="14"/>
              </w:rPr>
              <w:t>-- Need M</w:t>
            </w:r>
          </w:p>
        </w:tc>
        <w:tc>
          <w:tcPr>
            <w:tcW w:w="2959" w:type="dxa"/>
          </w:tcPr>
          <w:p w14:paraId="6A34A423" w14:textId="36F8D584" w:rsidR="00352AF4" w:rsidRDefault="00352AF4" w:rsidP="00D51803">
            <w:pPr>
              <w:jc w:val="left"/>
              <w:rPr>
                <w:sz w:val="16"/>
                <w:szCs w:val="16"/>
              </w:rPr>
            </w:pPr>
            <w:r>
              <w:rPr>
                <w:sz w:val="16"/>
                <w:szCs w:val="16"/>
              </w:rPr>
              <w:t>LTM candidate can be configured without PCI of the candidate cell</w:t>
            </w:r>
          </w:p>
        </w:tc>
      </w:tr>
      <w:tr w:rsidR="00352AF4" w14:paraId="7D005E6C" w14:textId="77777777" w:rsidTr="003A0B18">
        <w:tc>
          <w:tcPr>
            <w:tcW w:w="2821" w:type="dxa"/>
          </w:tcPr>
          <w:p w14:paraId="3E99DBFA" w14:textId="1007F92A" w:rsidR="00352AF4" w:rsidRDefault="00352AF4" w:rsidP="00D51803">
            <w:pPr>
              <w:jc w:val="left"/>
              <w:rPr>
                <w:rFonts w:ascii="Courier New" w:hAnsi="Courier New" w:cs="Courier New"/>
                <w:sz w:val="14"/>
                <w:szCs w:val="14"/>
                <w:lang w:val="x-none"/>
              </w:rPr>
            </w:pPr>
            <w:r>
              <w:rPr>
                <w:rFonts w:ascii="Courier New" w:hAnsi="Courier New" w:cs="Courier New"/>
                <w:sz w:val="14"/>
                <w:szCs w:val="14"/>
                <w:lang w:val="x-none"/>
              </w:rPr>
              <w:t>MeasConfigAppLayer-r17</w:t>
            </w:r>
          </w:p>
        </w:tc>
        <w:tc>
          <w:tcPr>
            <w:tcW w:w="4415" w:type="dxa"/>
            <w:shd w:val="clear" w:color="auto" w:fill="FFFFFF" w:themeFill="background1"/>
          </w:tcPr>
          <w:p w14:paraId="2F98E32F" w14:textId="78363F85" w:rsidR="00352AF4" w:rsidRPr="00352AF4" w:rsidRDefault="00352AF4" w:rsidP="00862601">
            <w:pPr>
              <w:jc w:val="left"/>
              <w:rPr>
                <w:rFonts w:ascii="Courier New" w:hAnsi="Courier New" w:cs="Courier New"/>
                <w:sz w:val="14"/>
                <w:szCs w:val="14"/>
              </w:rPr>
            </w:pPr>
            <w:r w:rsidRPr="003A0B18">
              <w:rPr>
                <w:rFonts w:ascii="Courier New" w:hAnsi="Courier New" w:cs="Courier New"/>
                <w:sz w:val="14"/>
                <w:szCs w:val="14"/>
              </w:rPr>
              <w:t>serviceType-r17</w:t>
            </w:r>
            <w:r>
              <w:rPr>
                <w:rFonts w:ascii="Courier New" w:hAnsi="Courier New" w:cs="Courier New"/>
                <w:sz w:val="14"/>
                <w:szCs w:val="14"/>
              </w:rPr>
              <w:t xml:space="preserve"> </w:t>
            </w:r>
            <w:r w:rsidRPr="003A0B18">
              <w:rPr>
                <w:rFonts w:ascii="Courier New" w:hAnsi="Courier New" w:cs="Courier New"/>
                <w:color w:val="993366"/>
                <w:sz w:val="14"/>
                <w:szCs w:val="14"/>
              </w:rPr>
              <w:t>ENUMERATED</w:t>
            </w:r>
            <w:r w:rsidRPr="003A0B18">
              <w:rPr>
                <w:rFonts w:ascii="Courier New" w:hAnsi="Courier New" w:cs="Courier New"/>
                <w:sz w:val="14"/>
                <w:szCs w:val="14"/>
              </w:rPr>
              <w:t xml:space="preserve"> {streaming, mtsi, vr,</w:t>
            </w:r>
            <w:r>
              <w:rPr>
                <w:rFonts w:ascii="Courier New" w:hAnsi="Courier New" w:cs="Courier New"/>
                <w:sz w:val="14"/>
                <w:szCs w:val="14"/>
              </w:rPr>
              <w:br/>
              <w:t xml:space="preserve">                            </w:t>
            </w:r>
            <w:r w:rsidRPr="003A0B18">
              <w:rPr>
                <w:rFonts w:ascii="Courier New" w:hAnsi="Courier New" w:cs="Courier New"/>
                <w:sz w:val="14"/>
                <w:szCs w:val="14"/>
              </w:rPr>
              <w:t>spare5, spare4,</w:t>
            </w:r>
            <w:r w:rsidR="0035662A">
              <w:rPr>
                <w:rFonts w:ascii="Courier New" w:hAnsi="Courier New" w:cs="Courier New"/>
                <w:sz w:val="14"/>
                <w:szCs w:val="14"/>
              </w:rPr>
              <w:br/>
              <w:t xml:space="preserve">                            </w:t>
            </w:r>
            <w:r w:rsidRPr="003A0B18">
              <w:rPr>
                <w:rFonts w:ascii="Courier New" w:hAnsi="Courier New" w:cs="Courier New"/>
                <w:sz w:val="14"/>
                <w:szCs w:val="14"/>
              </w:rPr>
              <w:t>spare3,</w:t>
            </w:r>
            <w:r>
              <w:rPr>
                <w:rFonts w:ascii="Courier New" w:hAnsi="Courier New" w:cs="Courier New"/>
                <w:sz w:val="14"/>
                <w:szCs w:val="14"/>
              </w:rPr>
              <w:t xml:space="preserve"> </w:t>
            </w:r>
            <w:r w:rsidRPr="003A0B18">
              <w:rPr>
                <w:rFonts w:ascii="Courier New" w:hAnsi="Courier New" w:cs="Courier New"/>
                <w:sz w:val="14"/>
                <w:szCs w:val="14"/>
              </w:rPr>
              <w:t>spare2,</w:t>
            </w:r>
            <w:r w:rsidR="0035662A">
              <w:rPr>
                <w:rFonts w:ascii="Courier New" w:hAnsi="Courier New" w:cs="Courier New"/>
                <w:sz w:val="14"/>
                <w:szCs w:val="14"/>
              </w:rPr>
              <w:br/>
              <w:t xml:space="preserve">                            </w:t>
            </w:r>
            <w:r w:rsidRPr="003A0B18">
              <w:rPr>
                <w:rFonts w:ascii="Courier New" w:hAnsi="Courier New" w:cs="Courier New"/>
                <w:sz w:val="14"/>
                <w:szCs w:val="14"/>
              </w:rPr>
              <w:t>spare1}</w:t>
            </w:r>
            <w:r>
              <w:rPr>
                <w:rFonts w:ascii="Courier New" w:hAnsi="Courier New" w:cs="Courier New"/>
                <w:sz w:val="14"/>
                <w:szCs w:val="14"/>
              </w:rPr>
              <w:br/>
            </w:r>
            <w:r w:rsidRPr="003A0B18">
              <w:rPr>
                <w:rFonts w:ascii="Courier New" w:hAnsi="Courier New" w:cs="Courier New"/>
                <w:color w:val="993366"/>
                <w:sz w:val="14"/>
                <w:szCs w:val="14"/>
              </w:rPr>
              <w:t>OPTIONAL</w:t>
            </w:r>
            <w:r w:rsidRPr="003A0B18">
              <w:rPr>
                <w:rFonts w:ascii="Courier New" w:hAnsi="Courier New" w:cs="Courier New"/>
                <w:sz w:val="14"/>
                <w:szCs w:val="14"/>
              </w:rPr>
              <w:t>,</w:t>
            </w:r>
            <w:r w:rsidRPr="003A0B18">
              <w:rPr>
                <w:rFonts w:ascii="Courier New" w:eastAsia="SimSun" w:hAnsi="Courier New" w:cs="Courier New"/>
                <w:sz w:val="14"/>
                <w:szCs w:val="14"/>
              </w:rPr>
              <w:t xml:space="preserve"> </w:t>
            </w:r>
            <w:r w:rsidRPr="003A0B18">
              <w:rPr>
                <w:rFonts w:ascii="Courier New" w:eastAsia="SimSun" w:hAnsi="Courier New" w:cs="Courier New"/>
                <w:color w:val="808080"/>
                <w:sz w:val="14"/>
                <w:szCs w:val="14"/>
              </w:rPr>
              <w:t>-- Need M</w:t>
            </w:r>
          </w:p>
        </w:tc>
        <w:tc>
          <w:tcPr>
            <w:tcW w:w="2959" w:type="dxa"/>
          </w:tcPr>
          <w:p w14:paraId="175041FE" w14:textId="24B6861E" w:rsidR="00352AF4" w:rsidRDefault="00352AF4" w:rsidP="00D51803">
            <w:pPr>
              <w:jc w:val="left"/>
              <w:rPr>
                <w:sz w:val="16"/>
                <w:szCs w:val="16"/>
              </w:rPr>
            </w:pPr>
            <w:r>
              <w:rPr>
                <w:sz w:val="16"/>
                <w:szCs w:val="16"/>
              </w:rPr>
              <w:t>Application layer measurements can be configured without the type of the measurements</w:t>
            </w:r>
          </w:p>
        </w:tc>
      </w:tr>
      <w:tr w:rsidR="00352AF4" w14:paraId="1FD6B7EB" w14:textId="77777777" w:rsidTr="003A0B18">
        <w:tc>
          <w:tcPr>
            <w:tcW w:w="2821" w:type="dxa"/>
          </w:tcPr>
          <w:p w14:paraId="179AD520" w14:textId="35D7C3D5" w:rsidR="00352AF4" w:rsidRDefault="00352AF4" w:rsidP="00D51803">
            <w:pPr>
              <w:jc w:val="left"/>
              <w:rPr>
                <w:rFonts w:ascii="Courier New" w:hAnsi="Courier New" w:cs="Courier New"/>
                <w:sz w:val="14"/>
                <w:szCs w:val="14"/>
                <w:lang w:val="x-none"/>
              </w:rPr>
            </w:pPr>
            <w:r>
              <w:rPr>
                <w:rFonts w:ascii="Courier New" w:hAnsi="Courier New" w:cs="Courier New"/>
                <w:sz w:val="14"/>
                <w:szCs w:val="14"/>
                <w:lang w:val="x-none"/>
              </w:rPr>
              <w:t>RACH-ConfigCommon</w:t>
            </w:r>
          </w:p>
        </w:tc>
        <w:tc>
          <w:tcPr>
            <w:tcW w:w="4415" w:type="dxa"/>
            <w:shd w:val="clear" w:color="auto" w:fill="FFFFFF" w:themeFill="background1"/>
          </w:tcPr>
          <w:p w14:paraId="29EEE7E5" w14:textId="5BD9C983" w:rsidR="00352AF4" w:rsidRPr="003A0B18" w:rsidRDefault="0035662A" w:rsidP="00862601">
            <w:pPr>
              <w:jc w:val="left"/>
              <w:rPr>
                <w:rFonts w:ascii="Courier New" w:hAnsi="Courier New" w:cs="Courier New"/>
                <w:sz w:val="16"/>
                <w:szCs w:val="16"/>
              </w:rPr>
            </w:pPr>
            <w:r w:rsidRPr="003A0B18">
              <w:rPr>
                <w:rFonts w:ascii="Courier New" w:hAnsi="Courier New" w:cs="Courier New"/>
                <w:sz w:val="14"/>
                <w:szCs w:val="14"/>
              </w:rPr>
              <w:t xml:space="preserve">ssb-perRACH-OccasionAndCB-PreamblesPerSSB </w:t>
            </w:r>
            <w:r w:rsidRPr="003A0B18">
              <w:rPr>
                <w:rFonts w:ascii="Courier New" w:hAnsi="Courier New" w:cs="Courier New"/>
                <w:color w:val="993366"/>
                <w:sz w:val="14"/>
                <w:szCs w:val="14"/>
              </w:rPr>
              <w:t>CHOICE</w:t>
            </w:r>
            <w:r>
              <w:rPr>
                <w:rFonts w:ascii="Courier New" w:hAnsi="Courier New" w:cs="Courier New"/>
                <w:color w:val="993366"/>
                <w:sz w:val="14"/>
                <w:szCs w:val="14"/>
              </w:rPr>
              <w:t xml:space="preserve"> </w:t>
            </w:r>
            <w:r w:rsidRPr="003A0B18">
              <w:rPr>
                <w:rFonts w:ascii="Courier New" w:hAnsi="Courier New" w:cs="Courier New"/>
                <w:sz w:val="14"/>
                <w:szCs w:val="14"/>
              </w:rPr>
              <w:t>{</w:t>
            </w:r>
            <w:r w:rsidRPr="003A0B18">
              <w:rPr>
                <w:rFonts w:ascii="Courier New" w:hAnsi="Courier New" w:cs="Courier New"/>
                <w:sz w:val="14"/>
                <w:szCs w:val="14"/>
              </w:rPr>
              <w:br/>
            </w:r>
            <w:r>
              <w:rPr>
                <w:rFonts w:ascii="Courier New" w:hAnsi="Courier New" w:cs="Courier New"/>
                <w:sz w:val="14"/>
                <w:szCs w:val="14"/>
              </w:rPr>
              <w:t xml:space="preserve">  </w:t>
            </w:r>
            <w:r w:rsidRPr="0035662A">
              <w:rPr>
                <w:rFonts w:ascii="Courier New" w:hAnsi="Courier New" w:cs="Courier New"/>
                <w:sz w:val="14"/>
                <w:szCs w:val="14"/>
              </w:rPr>
              <w:t>&lt;omit the irrelevant part&gt;</w:t>
            </w:r>
            <w:r w:rsidRPr="0035662A">
              <w:rPr>
                <w:rFonts w:ascii="Courier New" w:hAnsi="Courier New" w:cs="Courier New"/>
                <w:sz w:val="14"/>
                <w:szCs w:val="14"/>
              </w:rPr>
              <w:br/>
            </w:r>
            <w:r w:rsidRPr="003A0B18">
              <w:rPr>
                <w:rFonts w:ascii="Courier New" w:hAnsi="Courier New" w:cs="Courier New"/>
                <w:sz w:val="14"/>
                <w:szCs w:val="14"/>
              </w:rPr>
              <w:t>}</w:t>
            </w:r>
            <w:r>
              <w:rPr>
                <w:rFonts w:ascii="Courier New" w:hAnsi="Courier New" w:cs="Courier New"/>
                <w:sz w:val="14"/>
                <w:szCs w:val="14"/>
              </w:rPr>
              <w:t xml:space="preserve"> </w:t>
            </w:r>
            <w:r w:rsidRPr="003A0B18">
              <w:rPr>
                <w:rFonts w:ascii="Courier New" w:hAnsi="Courier New" w:cs="Courier New"/>
                <w:color w:val="993366"/>
                <w:sz w:val="14"/>
                <w:szCs w:val="14"/>
              </w:rPr>
              <w:t>OPTIONAL</w:t>
            </w:r>
            <w:r w:rsidRPr="003A0B18">
              <w:rPr>
                <w:rFonts w:ascii="Courier New" w:hAnsi="Courier New" w:cs="Courier New"/>
                <w:sz w:val="14"/>
                <w:szCs w:val="14"/>
              </w:rPr>
              <w:t xml:space="preserve">,   </w:t>
            </w:r>
            <w:r w:rsidRPr="003A0B18">
              <w:rPr>
                <w:rFonts w:ascii="Courier New" w:hAnsi="Courier New" w:cs="Courier New"/>
                <w:color w:val="808080"/>
                <w:sz w:val="14"/>
                <w:szCs w:val="14"/>
              </w:rPr>
              <w:t>-- Need M</w:t>
            </w:r>
          </w:p>
        </w:tc>
        <w:tc>
          <w:tcPr>
            <w:tcW w:w="2959" w:type="dxa"/>
          </w:tcPr>
          <w:p w14:paraId="4D4309AB" w14:textId="4E7CEDB8" w:rsidR="00352AF4" w:rsidRDefault="0035662A" w:rsidP="00D51803">
            <w:pPr>
              <w:jc w:val="left"/>
              <w:rPr>
                <w:sz w:val="16"/>
                <w:szCs w:val="16"/>
              </w:rPr>
            </w:pPr>
            <w:r>
              <w:rPr>
                <w:sz w:val="16"/>
                <w:szCs w:val="16"/>
              </w:rPr>
              <w:t>Random access parameters can be configured without the number of SSBs per RO and the number of CB preambles per SSB</w:t>
            </w:r>
          </w:p>
        </w:tc>
      </w:tr>
      <w:tr w:rsidR="0035662A" w14:paraId="042FD0B8" w14:textId="77777777" w:rsidTr="003A0B18">
        <w:tc>
          <w:tcPr>
            <w:tcW w:w="2821" w:type="dxa"/>
          </w:tcPr>
          <w:p w14:paraId="219CC810" w14:textId="4C55B4B2" w:rsidR="0035662A" w:rsidRDefault="0035662A" w:rsidP="00D51803">
            <w:pPr>
              <w:jc w:val="left"/>
              <w:rPr>
                <w:rFonts w:ascii="Courier New" w:hAnsi="Courier New" w:cs="Courier New"/>
                <w:sz w:val="14"/>
                <w:szCs w:val="14"/>
                <w:lang w:val="x-none"/>
              </w:rPr>
            </w:pPr>
            <w:r>
              <w:rPr>
                <w:rFonts w:ascii="Courier New" w:hAnsi="Courier New" w:cs="Courier New"/>
                <w:sz w:val="14"/>
                <w:szCs w:val="14"/>
                <w:lang w:val="x-none"/>
              </w:rPr>
              <w:t>SchedulingRequestResourceConfig</w:t>
            </w:r>
          </w:p>
        </w:tc>
        <w:tc>
          <w:tcPr>
            <w:tcW w:w="4415" w:type="dxa"/>
            <w:shd w:val="clear" w:color="auto" w:fill="FFFFFF" w:themeFill="background1"/>
          </w:tcPr>
          <w:p w14:paraId="16B3DE40" w14:textId="54E0856E" w:rsidR="0035662A" w:rsidRPr="003A0B18" w:rsidRDefault="0035662A" w:rsidP="00862601">
            <w:pPr>
              <w:jc w:val="left"/>
              <w:rPr>
                <w:rFonts w:ascii="Courier New" w:hAnsi="Courier New" w:cs="Courier New"/>
                <w:sz w:val="16"/>
                <w:szCs w:val="16"/>
              </w:rPr>
            </w:pPr>
            <w:r w:rsidRPr="003A0B18">
              <w:rPr>
                <w:rFonts w:ascii="Courier New" w:hAnsi="Courier New" w:cs="Courier New"/>
                <w:sz w:val="14"/>
                <w:szCs w:val="14"/>
              </w:rPr>
              <w:t>periodicityAndOffset</w:t>
            </w:r>
            <w:r>
              <w:rPr>
                <w:rFonts w:ascii="Courier New" w:hAnsi="Courier New" w:cs="Courier New"/>
                <w:sz w:val="14"/>
                <w:szCs w:val="14"/>
              </w:rPr>
              <w:t xml:space="preserve"> </w:t>
            </w:r>
            <w:r w:rsidRPr="003A0B18">
              <w:rPr>
                <w:rFonts w:ascii="Courier New" w:hAnsi="Courier New" w:cs="Courier New"/>
                <w:color w:val="993366"/>
                <w:sz w:val="14"/>
                <w:szCs w:val="14"/>
              </w:rPr>
              <w:t>CHOICE</w:t>
            </w:r>
            <w:r w:rsidRPr="003A0B18">
              <w:rPr>
                <w:rFonts w:ascii="Courier New" w:hAnsi="Courier New" w:cs="Courier New"/>
                <w:sz w:val="14"/>
                <w:szCs w:val="14"/>
              </w:rPr>
              <w:t xml:space="preserve"> {</w:t>
            </w:r>
            <w:r w:rsidRPr="003A0B18">
              <w:rPr>
                <w:rFonts w:ascii="Courier New" w:hAnsi="Courier New" w:cs="Courier New"/>
                <w:sz w:val="14"/>
                <w:szCs w:val="14"/>
              </w:rPr>
              <w:br/>
            </w:r>
            <w:r w:rsidRPr="0035662A">
              <w:rPr>
                <w:rFonts w:ascii="Courier New" w:hAnsi="Courier New" w:cs="Courier New"/>
                <w:sz w:val="14"/>
                <w:szCs w:val="14"/>
              </w:rPr>
              <w:t xml:space="preserve">  &lt;omit the irrelevant part&gt;</w:t>
            </w:r>
            <w:r w:rsidRPr="0035662A">
              <w:rPr>
                <w:rFonts w:ascii="Courier New" w:hAnsi="Courier New" w:cs="Courier New"/>
                <w:sz w:val="14"/>
                <w:szCs w:val="14"/>
              </w:rPr>
              <w:br/>
              <w:t xml:space="preserve">} </w:t>
            </w:r>
            <w:r w:rsidRPr="0035662A">
              <w:rPr>
                <w:rFonts w:ascii="Courier New" w:hAnsi="Courier New" w:cs="Courier New"/>
                <w:color w:val="993366"/>
                <w:sz w:val="14"/>
                <w:szCs w:val="14"/>
              </w:rPr>
              <w:t>OPTIONAL</w:t>
            </w:r>
            <w:r w:rsidRPr="0035662A">
              <w:rPr>
                <w:rFonts w:ascii="Courier New" w:hAnsi="Courier New" w:cs="Courier New"/>
                <w:sz w:val="14"/>
                <w:szCs w:val="14"/>
              </w:rPr>
              <w:t xml:space="preserve">,   </w:t>
            </w:r>
            <w:r w:rsidRPr="0035662A">
              <w:rPr>
                <w:rFonts w:ascii="Courier New" w:hAnsi="Courier New" w:cs="Courier New"/>
                <w:color w:val="808080"/>
                <w:sz w:val="14"/>
                <w:szCs w:val="14"/>
              </w:rPr>
              <w:t>-- Need M</w:t>
            </w:r>
          </w:p>
        </w:tc>
        <w:tc>
          <w:tcPr>
            <w:tcW w:w="2959" w:type="dxa"/>
          </w:tcPr>
          <w:p w14:paraId="0D620393" w14:textId="3A65C60D" w:rsidR="0035662A" w:rsidRDefault="0035662A" w:rsidP="00D51803">
            <w:pPr>
              <w:jc w:val="left"/>
              <w:rPr>
                <w:sz w:val="16"/>
                <w:szCs w:val="16"/>
              </w:rPr>
            </w:pPr>
            <w:r>
              <w:rPr>
                <w:sz w:val="16"/>
                <w:szCs w:val="16"/>
              </w:rPr>
              <w:t>Scheduling request resource can be configured without periodicity and offset</w:t>
            </w:r>
          </w:p>
        </w:tc>
      </w:tr>
      <w:tr w:rsidR="0035662A" w14:paraId="757AE890" w14:textId="77777777" w:rsidTr="003A0B18">
        <w:tc>
          <w:tcPr>
            <w:tcW w:w="2821" w:type="dxa"/>
          </w:tcPr>
          <w:p w14:paraId="30D1DBC6" w14:textId="4540C7E1" w:rsidR="0035662A" w:rsidRDefault="0035662A" w:rsidP="00D51803">
            <w:pPr>
              <w:jc w:val="left"/>
              <w:rPr>
                <w:rFonts w:ascii="Courier New" w:hAnsi="Courier New" w:cs="Courier New"/>
                <w:sz w:val="14"/>
                <w:szCs w:val="14"/>
                <w:lang w:val="x-none"/>
              </w:rPr>
            </w:pPr>
            <w:r>
              <w:rPr>
                <w:rFonts w:ascii="Courier New" w:hAnsi="Courier New" w:cs="Courier New"/>
                <w:sz w:val="14"/>
                <w:szCs w:val="14"/>
                <w:lang w:val="x-none"/>
              </w:rPr>
              <w:t>SearchSpace</w:t>
            </w:r>
          </w:p>
        </w:tc>
        <w:tc>
          <w:tcPr>
            <w:tcW w:w="4415" w:type="dxa"/>
            <w:shd w:val="clear" w:color="auto" w:fill="FFFFFF" w:themeFill="background1"/>
          </w:tcPr>
          <w:p w14:paraId="7DE8F957" w14:textId="3899C99F" w:rsidR="0035662A" w:rsidRPr="0035662A" w:rsidRDefault="0035662A" w:rsidP="00862601">
            <w:pPr>
              <w:jc w:val="left"/>
              <w:rPr>
                <w:rFonts w:ascii="Courier New" w:hAnsi="Courier New" w:cs="Courier New"/>
                <w:sz w:val="14"/>
                <w:szCs w:val="14"/>
              </w:rPr>
            </w:pPr>
            <w:r w:rsidRPr="003A0B18">
              <w:rPr>
                <w:rFonts w:ascii="Courier New" w:hAnsi="Courier New" w:cs="Courier New"/>
                <w:sz w:val="14"/>
                <w:szCs w:val="14"/>
              </w:rPr>
              <w:t>monitoringSymbolsWithinSlot</w:t>
            </w:r>
            <w:r>
              <w:rPr>
                <w:rFonts w:ascii="Courier New" w:hAnsi="Courier New" w:cs="Courier New"/>
                <w:sz w:val="14"/>
                <w:szCs w:val="14"/>
              </w:rPr>
              <w:t xml:space="preserve"> </w:t>
            </w:r>
            <w:r w:rsidRPr="003A0B18">
              <w:rPr>
                <w:rFonts w:ascii="Courier New" w:hAnsi="Courier New" w:cs="Courier New"/>
                <w:color w:val="993366"/>
                <w:sz w:val="14"/>
                <w:szCs w:val="14"/>
              </w:rPr>
              <w:t>BIT</w:t>
            </w:r>
            <w:r w:rsidRPr="003A0B18">
              <w:rPr>
                <w:rFonts w:ascii="Courier New" w:hAnsi="Courier New" w:cs="Courier New"/>
                <w:sz w:val="14"/>
                <w:szCs w:val="14"/>
              </w:rPr>
              <w:t xml:space="preserve"> </w:t>
            </w:r>
            <w:r w:rsidRPr="003A0B18">
              <w:rPr>
                <w:rFonts w:ascii="Courier New" w:hAnsi="Courier New" w:cs="Courier New"/>
                <w:color w:val="993366"/>
                <w:sz w:val="14"/>
                <w:szCs w:val="14"/>
              </w:rPr>
              <w:t>STRING</w:t>
            </w:r>
            <w:r w:rsidRPr="003A0B18">
              <w:rPr>
                <w:rFonts w:ascii="Courier New" w:hAnsi="Courier New" w:cs="Courier New"/>
                <w:sz w:val="14"/>
                <w:szCs w:val="14"/>
              </w:rPr>
              <w:t xml:space="preserve"> (</w:t>
            </w:r>
            <w:r w:rsidRPr="003A0B18">
              <w:rPr>
                <w:rFonts w:ascii="Courier New" w:hAnsi="Courier New" w:cs="Courier New"/>
                <w:color w:val="993366"/>
                <w:sz w:val="14"/>
                <w:szCs w:val="14"/>
              </w:rPr>
              <w:t>SIZE</w:t>
            </w:r>
            <w:r w:rsidRPr="003A0B18">
              <w:rPr>
                <w:rFonts w:ascii="Courier New" w:hAnsi="Courier New" w:cs="Courier New"/>
                <w:sz w:val="14"/>
                <w:szCs w:val="14"/>
              </w:rPr>
              <w:t xml:space="preserve"> (14)) </w:t>
            </w:r>
            <w:r w:rsidRPr="003A0B18">
              <w:rPr>
                <w:rFonts w:ascii="Courier New" w:hAnsi="Courier New" w:cs="Courier New"/>
                <w:color w:val="993366"/>
                <w:sz w:val="14"/>
                <w:szCs w:val="14"/>
              </w:rPr>
              <w:t>OPTIONAL</w:t>
            </w:r>
            <w:r w:rsidRPr="003A0B18">
              <w:rPr>
                <w:rFonts w:ascii="Courier New" w:hAnsi="Courier New" w:cs="Courier New"/>
                <w:sz w:val="14"/>
                <w:szCs w:val="14"/>
              </w:rPr>
              <w:t xml:space="preserve">,   </w:t>
            </w:r>
            <w:r w:rsidRPr="003A0B18">
              <w:rPr>
                <w:rFonts w:ascii="Courier New" w:hAnsi="Courier New" w:cs="Courier New"/>
                <w:color w:val="808080"/>
                <w:sz w:val="14"/>
                <w:szCs w:val="14"/>
              </w:rPr>
              <w:t>-- Cond Setup</w:t>
            </w:r>
          </w:p>
        </w:tc>
        <w:tc>
          <w:tcPr>
            <w:tcW w:w="2959" w:type="dxa"/>
          </w:tcPr>
          <w:p w14:paraId="6DB28A92" w14:textId="74CF6CAC" w:rsidR="0035662A" w:rsidRDefault="0035662A" w:rsidP="00D51803">
            <w:pPr>
              <w:jc w:val="left"/>
              <w:rPr>
                <w:sz w:val="16"/>
                <w:szCs w:val="16"/>
              </w:rPr>
            </w:pPr>
            <w:r>
              <w:rPr>
                <w:sz w:val="16"/>
                <w:szCs w:val="16"/>
              </w:rPr>
              <w:t>Search space can be configured without slots for PDCCH monitoring</w:t>
            </w:r>
          </w:p>
        </w:tc>
      </w:tr>
    </w:tbl>
    <w:p w14:paraId="4C43CBAF" w14:textId="77777777" w:rsidR="00D51803" w:rsidRDefault="00D51803" w:rsidP="00D50488">
      <w:pPr>
        <w:rPr>
          <w:lang w:val="x-none"/>
        </w:rPr>
      </w:pPr>
    </w:p>
    <w:p w14:paraId="1BE2ADA7" w14:textId="56D77B35" w:rsidR="007554A3" w:rsidRDefault="007554A3" w:rsidP="00D50488">
      <w:pPr>
        <w:rPr>
          <w:lang w:val="x-none"/>
        </w:rPr>
      </w:pPr>
      <w:r>
        <w:rPr>
          <w:lang w:val="x-none"/>
        </w:rPr>
        <w:t xml:space="preserve">The root cause of </w:t>
      </w:r>
      <w:r w:rsidR="00734015">
        <w:rPr>
          <w:lang w:val="x-none"/>
        </w:rPr>
        <w:t>th</w:t>
      </w:r>
      <w:r w:rsidR="00D66515">
        <w:rPr>
          <w:lang w:val="x-none"/>
        </w:rPr>
        <w:t>is kind of</w:t>
      </w:r>
      <w:r>
        <w:rPr>
          <w:lang w:val="x-none"/>
        </w:rPr>
        <w:t xml:space="preserve"> ambiguity is </w:t>
      </w:r>
      <w:r w:rsidRPr="003A0B18">
        <w:rPr>
          <w:u w:val="single"/>
          <w:lang w:val="x-none"/>
        </w:rPr>
        <w:t>usage of an optional ASN.1 field for functionally mandatory configuration parameter</w:t>
      </w:r>
      <w:r>
        <w:rPr>
          <w:lang w:val="x-none"/>
        </w:rPr>
        <w:t xml:space="preserve">. </w:t>
      </w:r>
      <w:r w:rsidR="0091392C">
        <w:rPr>
          <w:lang w:val="x-none"/>
        </w:rPr>
        <w:t>Most often</w:t>
      </w:r>
      <w:r>
        <w:rPr>
          <w:lang w:val="x-none"/>
        </w:rPr>
        <w:t xml:space="preserve">, the field is defined optional </w:t>
      </w:r>
      <w:r w:rsidR="0091392C">
        <w:rPr>
          <w:lang w:val="x-none"/>
        </w:rPr>
        <w:t xml:space="preserve">just </w:t>
      </w:r>
      <w:r>
        <w:rPr>
          <w:lang w:val="x-none"/>
        </w:rPr>
        <w:t xml:space="preserve">to enable more efficient delta signalling (i.e., </w:t>
      </w:r>
      <w:r w:rsidR="00446C96">
        <w:rPr>
          <w:lang w:val="x-none"/>
        </w:rPr>
        <w:t xml:space="preserve">to </w:t>
      </w:r>
      <w:r>
        <w:rPr>
          <w:lang w:val="x-none"/>
        </w:rPr>
        <w:t xml:space="preserve">enable the network to leave out the field in subsequent reconfiguration of the IE), but in some cases the field is defined optional because the field is not applicable to all use cases; </w:t>
      </w:r>
      <w:r w:rsidRPr="003A0B18">
        <w:rPr>
          <w:i/>
          <w:iCs/>
          <w:lang w:val="x-none"/>
        </w:rPr>
        <w:t>pathlossReferenceRS-Id-r18</w:t>
      </w:r>
      <w:r>
        <w:rPr>
          <w:lang w:val="x-none"/>
        </w:rPr>
        <w:t xml:space="preserve"> in </w:t>
      </w:r>
      <w:r w:rsidRPr="003A0B18">
        <w:rPr>
          <w:i/>
          <w:iCs/>
          <w:lang w:val="x-none"/>
        </w:rPr>
        <w:t>CandidateTCI-State-r18</w:t>
      </w:r>
      <w:r>
        <w:rPr>
          <w:lang w:val="x-none"/>
        </w:rPr>
        <w:t xml:space="preserve"> is an example of the latter.</w:t>
      </w:r>
      <w:r w:rsidR="00734015">
        <w:rPr>
          <w:lang w:val="x-none"/>
        </w:rPr>
        <w:t xml:space="preserve"> </w:t>
      </w:r>
      <w:r>
        <w:rPr>
          <w:lang w:val="x-none"/>
        </w:rPr>
        <w:t>Given the root cause of th</w:t>
      </w:r>
      <w:r w:rsidR="00D66515">
        <w:rPr>
          <w:lang w:val="x-none"/>
        </w:rPr>
        <w:t>is kind of</w:t>
      </w:r>
      <w:r>
        <w:rPr>
          <w:lang w:val="x-none"/>
        </w:rPr>
        <w:t xml:space="preserve"> ambiguity, it could be avoided by defining ASN.1 in such way that signalling for initial configuration of a feature/functionality would contain mandatory, not optional, ASN.1 field</w:t>
      </w:r>
      <w:r w:rsidR="00446C96">
        <w:rPr>
          <w:lang w:val="x-none"/>
        </w:rPr>
        <w:t>s</w:t>
      </w:r>
      <w:r>
        <w:rPr>
          <w:lang w:val="x-none"/>
        </w:rPr>
        <w:t xml:space="preserve"> for functionally mandatory configuration parameter</w:t>
      </w:r>
      <w:r w:rsidR="00446C96">
        <w:rPr>
          <w:lang w:val="x-none"/>
        </w:rPr>
        <w:t>s</w:t>
      </w:r>
      <w:r>
        <w:rPr>
          <w:lang w:val="x-none"/>
        </w:rPr>
        <w:t xml:space="preserve">. </w:t>
      </w:r>
      <w:r w:rsidRPr="003D5123">
        <w:rPr>
          <w:lang w:val="x-none"/>
        </w:rPr>
        <w:t xml:space="preserve">We discuss </w:t>
      </w:r>
      <w:r w:rsidR="003D5123" w:rsidRPr="003D5123">
        <w:rPr>
          <w:lang w:val="x-none"/>
        </w:rPr>
        <w:t xml:space="preserve">the </w:t>
      </w:r>
      <w:r w:rsidRPr="003D5123">
        <w:rPr>
          <w:lang w:val="x-none"/>
        </w:rPr>
        <w:t xml:space="preserve">details of the solution </w:t>
      </w:r>
      <w:r w:rsidR="0091392C" w:rsidRPr="003D5123">
        <w:rPr>
          <w:lang w:val="x-none"/>
        </w:rPr>
        <w:t xml:space="preserve">in this direction </w:t>
      </w:r>
      <w:r w:rsidRPr="003D5123">
        <w:rPr>
          <w:lang w:val="x-none"/>
        </w:rPr>
        <w:t>in Chapter 2.</w:t>
      </w:r>
      <w:r w:rsidR="00350C83">
        <w:rPr>
          <w:lang w:val="x-none"/>
        </w:rPr>
        <w:t>3</w:t>
      </w:r>
      <w:r w:rsidRPr="003D5123">
        <w:rPr>
          <w:lang w:val="x-none"/>
        </w:rPr>
        <w:t>.</w:t>
      </w:r>
      <w:r w:rsidR="00D66515">
        <w:rPr>
          <w:lang w:val="x-none"/>
        </w:rPr>
        <w:t>2</w:t>
      </w:r>
      <w:r w:rsidRPr="003D5123">
        <w:rPr>
          <w:lang w:val="x-none"/>
        </w:rPr>
        <w:t xml:space="preserve"> below.</w:t>
      </w:r>
    </w:p>
    <w:p w14:paraId="4EA40688" w14:textId="79D1728B" w:rsidR="00D50488" w:rsidRDefault="00D50488" w:rsidP="007902C2">
      <w:pPr>
        <w:pStyle w:val="Observation"/>
        <w:ind w:left="1559" w:hanging="1559"/>
      </w:pPr>
      <w:r>
        <w:t xml:space="preserve">Observation </w:t>
      </w:r>
      <w:r w:rsidR="00DE053E">
        <w:t>4</w:t>
      </w:r>
      <w:r>
        <w:tab/>
      </w:r>
      <w:r w:rsidR="00D51803">
        <w:t xml:space="preserve">The </w:t>
      </w:r>
      <w:r w:rsidR="00D66515">
        <w:t xml:space="preserve">ambiguity "Functionally mandatory UE configuration parameters can be absent in over-the-air RRC messages for initial configuration of a feature/functionality" is </w:t>
      </w:r>
      <w:r w:rsidR="00D51803">
        <w:t xml:space="preserve">very common in 5G RRC signalling. </w:t>
      </w:r>
      <w:r w:rsidR="007554A3">
        <w:t>Typically, an</w:t>
      </w:r>
      <w:r>
        <w:t xml:space="preserve"> </w:t>
      </w:r>
      <w:r w:rsidR="007554A3">
        <w:t>occurrence of th</w:t>
      </w:r>
      <w:r w:rsidR="00D66515">
        <w:t xml:space="preserve">is kind of </w:t>
      </w:r>
      <w:r>
        <w:t xml:space="preserve">ambiguity </w:t>
      </w:r>
      <w:r w:rsidR="007554A3">
        <w:t>is a negative side-effect of the delta signalling mechanism</w:t>
      </w:r>
      <w:r>
        <w:t>.</w:t>
      </w:r>
    </w:p>
    <w:p w14:paraId="7005B10E" w14:textId="4A75C169" w:rsidR="00ED0E4E" w:rsidRDefault="00ED0E4E" w:rsidP="007E4821">
      <w:pPr>
        <w:keepNext/>
        <w:spacing w:before="120"/>
        <w:rPr>
          <w:b/>
          <w:bCs/>
        </w:rPr>
      </w:pPr>
      <w:r>
        <w:rPr>
          <w:b/>
          <w:bCs/>
        </w:rPr>
        <w:t>Analysis of the 2nd Ambiguity</w:t>
      </w:r>
    </w:p>
    <w:p w14:paraId="54266414" w14:textId="475B8162" w:rsidR="00C8339F" w:rsidRDefault="00C8339F" w:rsidP="00C8339F">
      <w:pPr>
        <w:rPr>
          <w:lang w:val="x-none"/>
        </w:rPr>
      </w:pPr>
      <w:r>
        <w:t xml:space="preserve">Based on </w:t>
      </w:r>
      <w:r w:rsidR="00116219">
        <w:t>a</w:t>
      </w:r>
      <w:r>
        <w:t xml:space="preserve"> study </w:t>
      </w:r>
      <w:r>
        <w:rPr>
          <w:lang w:val="x-none"/>
        </w:rPr>
        <w:t>of our product development records and the 5G RRC ASN.1 (TS 38.331 v19.0.0), also th</w:t>
      </w:r>
      <w:r w:rsidR="00ED0E4E">
        <w:rPr>
          <w:lang w:val="x-none"/>
        </w:rPr>
        <w:t xml:space="preserve">is kind of </w:t>
      </w:r>
      <w:r>
        <w:rPr>
          <w:lang w:val="x-none"/>
        </w:rPr>
        <w:t xml:space="preserve">ambiguity occurs in practice. While </w:t>
      </w:r>
      <w:r w:rsidRPr="003A0B18">
        <w:rPr>
          <w:u w:val="single"/>
          <w:lang w:val="x-none"/>
        </w:rPr>
        <w:t xml:space="preserve">many </w:t>
      </w:r>
      <w:r w:rsidR="00116219">
        <w:rPr>
          <w:u w:val="single"/>
          <w:lang w:val="x-none"/>
        </w:rPr>
        <w:t>occurrences</w:t>
      </w:r>
      <w:r>
        <w:rPr>
          <w:lang w:val="x-none"/>
        </w:rPr>
        <w:t xml:space="preserve"> can be identified by looking at </w:t>
      </w:r>
      <w:r w:rsidR="00116219">
        <w:rPr>
          <w:lang w:val="x-none"/>
        </w:rPr>
        <w:t xml:space="preserve">TS </w:t>
      </w:r>
      <w:r>
        <w:rPr>
          <w:lang w:val="x-none"/>
        </w:rPr>
        <w:t xml:space="preserve">38.331 only, </w:t>
      </w:r>
      <w:r w:rsidRPr="003A0B18">
        <w:rPr>
          <w:u w:val="single"/>
          <w:lang w:val="x-none"/>
        </w:rPr>
        <w:t>most of the occurrences could be identified only by studying RAN1 specifications</w:t>
      </w:r>
      <w:r>
        <w:rPr>
          <w:lang w:val="x-none"/>
        </w:rPr>
        <w:t xml:space="preserve"> and finding out what kind of reconfiguration RAN1 specs actually support for each feature/functionality. To clarify how this </w:t>
      </w:r>
      <w:r w:rsidR="00ED0E4E">
        <w:rPr>
          <w:lang w:val="x-none"/>
        </w:rPr>
        <w:t>kind</w:t>
      </w:r>
      <w:r>
        <w:rPr>
          <w:lang w:val="x-none"/>
        </w:rPr>
        <w:t xml:space="preserve"> of ambiguity looks in practice, some examples, </w:t>
      </w:r>
      <w:r w:rsidR="00FD5409">
        <w:rPr>
          <w:lang w:val="x-none"/>
        </w:rPr>
        <w:t>several</w:t>
      </w:r>
      <w:r>
        <w:rPr>
          <w:lang w:val="x-none"/>
        </w:rPr>
        <w:t xml:space="preserve"> of which we've seen in practice in IODT/live networks, </w:t>
      </w:r>
      <w:r w:rsidR="00314034">
        <w:rPr>
          <w:lang w:val="x-none"/>
        </w:rPr>
        <w:t xml:space="preserve">are listed </w:t>
      </w:r>
      <w:r>
        <w:rPr>
          <w:lang w:val="x-none"/>
        </w:rPr>
        <w:t xml:space="preserve">in </w:t>
      </w:r>
      <w:r>
        <w:rPr>
          <w:lang w:val="x-none"/>
        </w:rPr>
        <w:fldChar w:fldCharType="begin"/>
      </w:r>
      <w:r>
        <w:rPr>
          <w:lang w:val="x-none"/>
        </w:rPr>
        <w:instrText xml:space="preserve"> REF _Ref213072993 </w:instrText>
      </w:r>
      <w:r>
        <w:rPr>
          <w:lang w:val="x-none"/>
        </w:rPr>
        <w:fldChar w:fldCharType="separate"/>
      </w:r>
      <w:r w:rsidR="003A0B18">
        <w:t xml:space="preserve">Table </w:t>
      </w:r>
      <w:r w:rsidR="003A0B18">
        <w:rPr>
          <w:noProof/>
        </w:rPr>
        <w:t>2</w:t>
      </w:r>
      <w:r>
        <w:rPr>
          <w:lang w:val="x-none"/>
        </w:rPr>
        <w:fldChar w:fldCharType="end"/>
      </w:r>
      <w:r>
        <w:rPr>
          <w:lang w:val="x-none"/>
        </w:rPr>
        <w:t xml:space="preserve">. </w:t>
      </w:r>
    </w:p>
    <w:p w14:paraId="3D5E7EC0" w14:textId="022C641E" w:rsidR="007123E5" w:rsidRDefault="007123E5" w:rsidP="007123E5">
      <w:pPr>
        <w:pStyle w:val="Caption"/>
        <w:keepNext/>
        <w:jc w:val="center"/>
      </w:pPr>
      <w:bookmarkStart w:id="5" w:name="_Ref213072993"/>
      <w:r>
        <w:lastRenderedPageBreak/>
        <w:t xml:space="preserve">Table </w:t>
      </w:r>
      <w:r>
        <w:fldChar w:fldCharType="begin"/>
      </w:r>
      <w:r>
        <w:instrText xml:space="preserve"> SEQ Table \* ARABIC </w:instrText>
      </w:r>
      <w:r>
        <w:fldChar w:fldCharType="separate"/>
      </w:r>
      <w:r w:rsidR="003A0B18">
        <w:rPr>
          <w:noProof/>
        </w:rPr>
        <w:t>2</w:t>
      </w:r>
      <w:r>
        <w:fldChar w:fldCharType="end"/>
      </w:r>
      <w:bookmarkEnd w:id="5"/>
      <w:r>
        <w:t xml:space="preserve">. Some examples of the </w:t>
      </w:r>
      <w:r w:rsidR="00CD46BE">
        <w:t>2nd</w:t>
      </w:r>
      <w:r>
        <w:t xml:space="preserve"> ambiguity in 5G RRC signalling for UE </w:t>
      </w:r>
      <w:r w:rsidR="00CD5C44">
        <w:t>re</w:t>
      </w:r>
      <w:r>
        <w:t>configuration</w:t>
      </w:r>
    </w:p>
    <w:tbl>
      <w:tblPr>
        <w:tblStyle w:val="TableGrid"/>
        <w:tblW w:w="0" w:type="auto"/>
        <w:tblLook w:val="04A0" w:firstRow="1" w:lastRow="0" w:firstColumn="1" w:lastColumn="0" w:noHBand="0" w:noVBand="1"/>
      </w:tblPr>
      <w:tblGrid>
        <w:gridCol w:w="2821"/>
        <w:gridCol w:w="4415"/>
        <w:gridCol w:w="2959"/>
      </w:tblGrid>
      <w:tr w:rsidR="00CD46BE" w14:paraId="7EDD1A6C" w14:textId="77777777" w:rsidTr="007123E5">
        <w:tc>
          <w:tcPr>
            <w:tcW w:w="2821" w:type="dxa"/>
            <w:tcBorders>
              <w:top w:val="single" w:sz="4" w:space="0" w:color="auto"/>
              <w:left w:val="single" w:sz="4" w:space="0" w:color="auto"/>
              <w:bottom w:val="single" w:sz="4" w:space="0" w:color="auto"/>
              <w:right w:val="single" w:sz="4" w:space="0" w:color="auto"/>
            </w:tcBorders>
            <w:vAlign w:val="center"/>
            <w:hideMark/>
          </w:tcPr>
          <w:p w14:paraId="6D3151F5" w14:textId="77777777" w:rsidR="007123E5" w:rsidRDefault="007123E5" w:rsidP="003A0B18">
            <w:pPr>
              <w:jc w:val="left"/>
              <w:rPr>
                <w:b/>
                <w:bCs/>
                <w:sz w:val="20"/>
                <w:szCs w:val="20"/>
                <w:lang w:val="x-none"/>
              </w:rPr>
            </w:pPr>
            <w:r>
              <w:rPr>
                <w:b/>
                <w:bCs/>
                <w:sz w:val="20"/>
                <w:szCs w:val="20"/>
                <w:lang w:val="x-none"/>
              </w:rPr>
              <w:t>IE</w:t>
            </w:r>
          </w:p>
        </w:tc>
        <w:tc>
          <w:tcPr>
            <w:tcW w:w="4415" w:type="dxa"/>
            <w:tcBorders>
              <w:top w:val="single" w:sz="4" w:space="0" w:color="auto"/>
              <w:left w:val="single" w:sz="4" w:space="0" w:color="auto"/>
              <w:bottom w:val="single" w:sz="4" w:space="0" w:color="auto"/>
              <w:right w:val="single" w:sz="4" w:space="0" w:color="auto"/>
            </w:tcBorders>
            <w:vAlign w:val="center"/>
            <w:hideMark/>
          </w:tcPr>
          <w:p w14:paraId="1822056A" w14:textId="77777777" w:rsidR="007123E5" w:rsidRDefault="007123E5" w:rsidP="003A0B18">
            <w:pPr>
              <w:jc w:val="left"/>
              <w:rPr>
                <w:b/>
                <w:bCs/>
                <w:sz w:val="20"/>
                <w:szCs w:val="20"/>
                <w:lang w:val="x-none"/>
              </w:rPr>
            </w:pPr>
            <w:r>
              <w:rPr>
                <w:b/>
                <w:bCs/>
                <w:sz w:val="20"/>
                <w:szCs w:val="20"/>
                <w:lang w:val="x-none"/>
              </w:rPr>
              <w:t>Field</w:t>
            </w:r>
          </w:p>
        </w:tc>
        <w:tc>
          <w:tcPr>
            <w:tcW w:w="2959" w:type="dxa"/>
            <w:tcBorders>
              <w:top w:val="single" w:sz="4" w:space="0" w:color="auto"/>
              <w:left w:val="single" w:sz="4" w:space="0" w:color="auto"/>
              <w:bottom w:val="single" w:sz="4" w:space="0" w:color="auto"/>
              <w:right w:val="single" w:sz="4" w:space="0" w:color="auto"/>
            </w:tcBorders>
            <w:vAlign w:val="center"/>
            <w:hideMark/>
          </w:tcPr>
          <w:p w14:paraId="6C366C14" w14:textId="38222F94" w:rsidR="007123E5" w:rsidRDefault="007123E5" w:rsidP="003A0B18">
            <w:pPr>
              <w:jc w:val="left"/>
              <w:rPr>
                <w:b/>
                <w:bCs/>
                <w:sz w:val="20"/>
                <w:szCs w:val="20"/>
                <w:lang w:val="x-none"/>
              </w:rPr>
            </w:pPr>
            <w:r>
              <w:rPr>
                <w:b/>
                <w:bCs/>
                <w:sz w:val="20"/>
                <w:szCs w:val="20"/>
                <w:lang w:val="x-none"/>
              </w:rPr>
              <w:t>Explanation</w:t>
            </w:r>
            <w:r w:rsidR="00CD46BE">
              <w:rPr>
                <w:b/>
                <w:bCs/>
                <w:sz w:val="20"/>
                <w:szCs w:val="20"/>
                <w:lang w:val="x-none"/>
              </w:rPr>
              <w:t xml:space="preserve"> of the ambiguity</w:t>
            </w:r>
          </w:p>
        </w:tc>
      </w:tr>
      <w:tr w:rsidR="00CD46BE" w:rsidRPr="00CD46BE" w14:paraId="2AAB433B" w14:textId="77777777" w:rsidTr="007123E5">
        <w:tc>
          <w:tcPr>
            <w:tcW w:w="2821" w:type="dxa"/>
            <w:tcBorders>
              <w:top w:val="single" w:sz="4" w:space="0" w:color="auto"/>
              <w:left w:val="single" w:sz="4" w:space="0" w:color="auto"/>
              <w:bottom w:val="single" w:sz="4" w:space="0" w:color="auto"/>
              <w:right w:val="single" w:sz="4" w:space="0" w:color="auto"/>
            </w:tcBorders>
            <w:hideMark/>
          </w:tcPr>
          <w:p w14:paraId="034B9574" w14:textId="69C4E6BA" w:rsidR="007123E5" w:rsidRDefault="00CD46BE">
            <w:pPr>
              <w:jc w:val="left"/>
              <w:rPr>
                <w:rFonts w:ascii="Courier New" w:hAnsi="Courier New" w:cs="Courier New"/>
                <w:sz w:val="14"/>
                <w:szCs w:val="14"/>
                <w:lang w:val="x-none"/>
              </w:rPr>
            </w:pPr>
            <w:r>
              <w:rPr>
                <w:rFonts w:ascii="Courier New" w:hAnsi="Courier New" w:cs="Courier New"/>
                <w:sz w:val="14"/>
                <w:szCs w:val="14"/>
                <w:lang w:val="x-none"/>
              </w:rPr>
              <w:t>RLCBearerConfig</w:t>
            </w:r>
          </w:p>
        </w:tc>
        <w:tc>
          <w:tcPr>
            <w:tcW w:w="4415" w:type="dxa"/>
            <w:tcBorders>
              <w:top w:val="single" w:sz="4" w:space="0" w:color="auto"/>
              <w:left w:val="single" w:sz="4" w:space="0" w:color="auto"/>
              <w:bottom w:val="single" w:sz="4" w:space="0" w:color="auto"/>
              <w:right w:val="single" w:sz="4" w:space="0" w:color="auto"/>
            </w:tcBorders>
            <w:hideMark/>
          </w:tcPr>
          <w:p w14:paraId="05B12C21" w14:textId="4BEF1E40" w:rsidR="007123E5" w:rsidRPr="003A0B18" w:rsidRDefault="00CD46BE">
            <w:pPr>
              <w:jc w:val="left"/>
              <w:rPr>
                <w:rFonts w:ascii="Courier New" w:hAnsi="Courier New" w:cs="Courier New"/>
                <w:sz w:val="16"/>
                <w:szCs w:val="16"/>
              </w:rPr>
            </w:pPr>
            <w:r w:rsidRPr="003A0B18">
              <w:rPr>
                <w:rFonts w:ascii="Courier New" w:hAnsi="Courier New" w:cs="Courier New"/>
                <w:sz w:val="14"/>
                <w:szCs w:val="14"/>
              </w:rPr>
              <w:t>servedRadioBearer</w:t>
            </w:r>
            <w:r>
              <w:rPr>
                <w:rFonts w:ascii="Courier New" w:hAnsi="Courier New" w:cs="Courier New"/>
                <w:sz w:val="14"/>
                <w:szCs w:val="14"/>
              </w:rPr>
              <w:t xml:space="preserve"> </w:t>
            </w:r>
            <w:r w:rsidRPr="003A0B18">
              <w:rPr>
                <w:rFonts w:ascii="Courier New" w:hAnsi="Courier New" w:cs="Courier New"/>
                <w:color w:val="993366"/>
                <w:sz w:val="14"/>
                <w:szCs w:val="14"/>
              </w:rPr>
              <w:t>CHOICE</w:t>
            </w:r>
            <w:r w:rsidRPr="003A0B18">
              <w:rPr>
                <w:rFonts w:ascii="Courier New" w:hAnsi="Courier New" w:cs="Courier New"/>
                <w:sz w:val="14"/>
                <w:szCs w:val="14"/>
              </w:rPr>
              <w:t xml:space="preserve"> {</w:t>
            </w:r>
            <w:r w:rsidRPr="003A0B18">
              <w:rPr>
                <w:rFonts w:ascii="Courier New" w:hAnsi="Courier New" w:cs="Courier New"/>
                <w:sz w:val="14"/>
                <w:szCs w:val="14"/>
              </w:rPr>
              <w:br/>
              <w:t xml:space="preserve">    srb-Identity</w:t>
            </w:r>
            <w:r>
              <w:rPr>
                <w:rFonts w:ascii="Courier New" w:hAnsi="Courier New" w:cs="Courier New"/>
                <w:sz w:val="14"/>
                <w:szCs w:val="14"/>
              </w:rPr>
              <w:t xml:space="preserve"> </w:t>
            </w:r>
            <w:r w:rsidRPr="003A0B18">
              <w:rPr>
                <w:rFonts w:ascii="Courier New" w:hAnsi="Courier New" w:cs="Courier New"/>
                <w:sz w:val="14"/>
                <w:szCs w:val="14"/>
              </w:rPr>
              <w:t>SRB-Identity,</w:t>
            </w:r>
            <w:r w:rsidRPr="003A0B18">
              <w:rPr>
                <w:rFonts w:ascii="Courier New" w:hAnsi="Courier New" w:cs="Courier New"/>
                <w:sz w:val="14"/>
                <w:szCs w:val="14"/>
              </w:rPr>
              <w:br/>
              <w:t xml:space="preserve">    drb-Identity</w:t>
            </w:r>
            <w:r>
              <w:rPr>
                <w:rFonts w:ascii="Courier New" w:hAnsi="Courier New" w:cs="Courier New"/>
                <w:sz w:val="14"/>
                <w:szCs w:val="14"/>
              </w:rPr>
              <w:t xml:space="preserve"> </w:t>
            </w:r>
            <w:r w:rsidRPr="003A0B18">
              <w:rPr>
                <w:rFonts w:ascii="Courier New" w:hAnsi="Courier New" w:cs="Courier New"/>
                <w:sz w:val="14"/>
                <w:szCs w:val="14"/>
              </w:rPr>
              <w:t>DRB-Identity</w:t>
            </w:r>
            <w:r w:rsidRPr="003A0B18">
              <w:rPr>
                <w:rFonts w:ascii="Courier New" w:hAnsi="Courier New" w:cs="Courier New"/>
                <w:sz w:val="14"/>
                <w:szCs w:val="14"/>
              </w:rPr>
              <w:br/>
              <w:t>}</w:t>
            </w:r>
            <w:r>
              <w:rPr>
                <w:rFonts w:ascii="Courier New" w:hAnsi="Courier New" w:cs="Courier New"/>
                <w:sz w:val="14"/>
                <w:szCs w:val="14"/>
              </w:rPr>
              <w:t xml:space="preserve">   </w:t>
            </w:r>
            <w:r w:rsidRPr="003A0B18">
              <w:rPr>
                <w:rFonts w:ascii="Courier New" w:hAnsi="Courier New" w:cs="Courier New"/>
                <w:color w:val="993366"/>
                <w:sz w:val="14"/>
                <w:szCs w:val="14"/>
              </w:rPr>
              <w:t>OPTIONAL</w:t>
            </w:r>
            <w:r w:rsidRPr="003A0B18">
              <w:rPr>
                <w:rFonts w:ascii="Courier New" w:hAnsi="Courier New" w:cs="Courier New"/>
                <w:sz w:val="14"/>
                <w:szCs w:val="14"/>
              </w:rPr>
              <w:t xml:space="preserve">,   </w:t>
            </w:r>
            <w:r w:rsidRPr="003A0B18">
              <w:rPr>
                <w:rFonts w:ascii="Courier New" w:hAnsi="Courier New" w:cs="Courier New"/>
                <w:color w:val="808080"/>
                <w:sz w:val="14"/>
                <w:szCs w:val="14"/>
              </w:rPr>
              <w:t>-- Cond LCH-SetupOnly</w:t>
            </w:r>
          </w:p>
        </w:tc>
        <w:tc>
          <w:tcPr>
            <w:tcW w:w="2959" w:type="dxa"/>
            <w:tcBorders>
              <w:top w:val="single" w:sz="4" w:space="0" w:color="auto"/>
              <w:left w:val="single" w:sz="4" w:space="0" w:color="auto"/>
              <w:bottom w:val="single" w:sz="4" w:space="0" w:color="auto"/>
              <w:right w:val="single" w:sz="4" w:space="0" w:color="auto"/>
            </w:tcBorders>
            <w:hideMark/>
          </w:tcPr>
          <w:p w14:paraId="78F6AF2D" w14:textId="1385F148" w:rsidR="007123E5" w:rsidRDefault="00CD46BE">
            <w:pPr>
              <w:jc w:val="left"/>
              <w:rPr>
                <w:sz w:val="16"/>
                <w:szCs w:val="16"/>
                <w:lang w:val="x-none"/>
              </w:rPr>
            </w:pPr>
            <w:r>
              <w:rPr>
                <w:sz w:val="16"/>
                <w:szCs w:val="16"/>
                <w:lang w:val="x-none"/>
              </w:rPr>
              <w:t>Associated radio bearer of an RLC bearer can be reconfigured, which is not supported operation</w:t>
            </w:r>
          </w:p>
        </w:tc>
      </w:tr>
      <w:tr w:rsidR="00CD46BE" w:rsidRPr="00CD46BE" w14:paraId="56A8D5BE" w14:textId="77777777" w:rsidTr="007123E5">
        <w:tc>
          <w:tcPr>
            <w:tcW w:w="2821" w:type="dxa"/>
            <w:tcBorders>
              <w:top w:val="single" w:sz="4" w:space="0" w:color="auto"/>
              <w:left w:val="single" w:sz="4" w:space="0" w:color="auto"/>
              <w:bottom w:val="single" w:sz="4" w:space="0" w:color="auto"/>
              <w:right w:val="single" w:sz="4" w:space="0" w:color="auto"/>
            </w:tcBorders>
            <w:hideMark/>
          </w:tcPr>
          <w:p w14:paraId="073EFCBD" w14:textId="01406014" w:rsidR="007123E5" w:rsidRDefault="00CD46BE">
            <w:pPr>
              <w:jc w:val="left"/>
              <w:rPr>
                <w:rFonts w:ascii="Courier New" w:hAnsi="Courier New" w:cs="Courier New"/>
                <w:sz w:val="14"/>
                <w:szCs w:val="14"/>
                <w:lang w:val="x-none"/>
              </w:rPr>
            </w:pPr>
            <w:r>
              <w:rPr>
                <w:rFonts w:ascii="Courier New" w:hAnsi="Courier New" w:cs="Courier New"/>
                <w:sz w:val="14"/>
                <w:szCs w:val="14"/>
                <w:lang w:val="x-none"/>
              </w:rPr>
              <w:t>SCellConfig</w:t>
            </w:r>
          </w:p>
        </w:tc>
        <w:tc>
          <w:tcPr>
            <w:tcW w:w="4415" w:type="dxa"/>
            <w:tcBorders>
              <w:top w:val="single" w:sz="4" w:space="0" w:color="auto"/>
              <w:left w:val="single" w:sz="4" w:space="0" w:color="auto"/>
              <w:bottom w:val="single" w:sz="4" w:space="0" w:color="auto"/>
              <w:right w:val="single" w:sz="4" w:space="0" w:color="auto"/>
            </w:tcBorders>
            <w:hideMark/>
          </w:tcPr>
          <w:p w14:paraId="16728B05" w14:textId="7DCEA91C" w:rsidR="007123E5" w:rsidRPr="00CD46BE" w:rsidRDefault="00CD46BE">
            <w:pPr>
              <w:jc w:val="left"/>
              <w:rPr>
                <w:rFonts w:ascii="Courier New" w:hAnsi="Courier New" w:cs="Courier New"/>
                <w:sz w:val="14"/>
                <w:szCs w:val="14"/>
                <w:lang w:val="x-none"/>
              </w:rPr>
            </w:pPr>
            <w:r w:rsidRPr="003A0B18">
              <w:rPr>
                <w:rFonts w:ascii="Courier New" w:hAnsi="Courier New" w:cs="Courier New"/>
                <w:sz w:val="14"/>
                <w:szCs w:val="14"/>
              </w:rPr>
              <w:t>sCellConfigCommon</w:t>
            </w:r>
            <w:r>
              <w:rPr>
                <w:rFonts w:ascii="Courier New" w:hAnsi="Courier New" w:cs="Courier New"/>
                <w:sz w:val="14"/>
                <w:szCs w:val="14"/>
              </w:rPr>
              <w:t xml:space="preserve"> </w:t>
            </w:r>
            <w:r w:rsidRPr="003A0B18">
              <w:rPr>
                <w:rFonts w:ascii="Courier New" w:hAnsi="Courier New" w:cs="Courier New"/>
                <w:sz w:val="14"/>
                <w:szCs w:val="14"/>
              </w:rPr>
              <w:t>ServingCellConfigCommon</w:t>
            </w:r>
            <w:r>
              <w:rPr>
                <w:rFonts w:ascii="Courier New" w:hAnsi="Courier New" w:cs="Courier New"/>
                <w:sz w:val="14"/>
                <w:szCs w:val="14"/>
              </w:rPr>
              <w:br/>
            </w:r>
            <w:r w:rsidRPr="003A0B18">
              <w:rPr>
                <w:rFonts w:ascii="Courier New" w:hAnsi="Courier New" w:cs="Courier New"/>
                <w:color w:val="993366"/>
                <w:sz w:val="14"/>
                <w:szCs w:val="14"/>
              </w:rPr>
              <w:t>OPTIONAL</w:t>
            </w:r>
            <w:r w:rsidRPr="003A0B18">
              <w:rPr>
                <w:rFonts w:ascii="Courier New" w:hAnsi="Courier New" w:cs="Courier New"/>
                <w:sz w:val="14"/>
                <w:szCs w:val="14"/>
              </w:rPr>
              <w:t xml:space="preserve">,   </w:t>
            </w:r>
            <w:r w:rsidRPr="003A0B18">
              <w:rPr>
                <w:rFonts w:ascii="Courier New" w:hAnsi="Courier New" w:cs="Courier New"/>
                <w:color w:val="808080"/>
                <w:sz w:val="14"/>
                <w:szCs w:val="14"/>
              </w:rPr>
              <w:t>-- Cond SCellAdd</w:t>
            </w:r>
          </w:p>
        </w:tc>
        <w:tc>
          <w:tcPr>
            <w:tcW w:w="2959" w:type="dxa"/>
            <w:tcBorders>
              <w:top w:val="single" w:sz="4" w:space="0" w:color="auto"/>
              <w:left w:val="single" w:sz="4" w:space="0" w:color="auto"/>
              <w:bottom w:val="single" w:sz="4" w:space="0" w:color="auto"/>
              <w:right w:val="single" w:sz="4" w:space="0" w:color="auto"/>
            </w:tcBorders>
            <w:hideMark/>
          </w:tcPr>
          <w:p w14:paraId="434C06AC" w14:textId="67BC4149" w:rsidR="007123E5" w:rsidRDefault="00CD46BE">
            <w:pPr>
              <w:jc w:val="left"/>
              <w:rPr>
                <w:sz w:val="16"/>
                <w:szCs w:val="16"/>
                <w:lang w:val="x-none"/>
              </w:rPr>
            </w:pPr>
            <w:r>
              <w:rPr>
                <w:sz w:val="16"/>
                <w:szCs w:val="16"/>
                <w:lang w:val="x-none"/>
              </w:rPr>
              <w:t>Common configuration of an SCell can be reconfigured without release-and-add of the SCell</w:t>
            </w:r>
            <w:r w:rsidR="00314034">
              <w:rPr>
                <w:sz w:val="16"/>
                <w:szCs w:val="16"/>
                <w:lang w:val="x-none"/>
              </w:rPr>
              <w:t>,</w:t>
            </w:r>
            <w:r>
              <w:rPr>
                <w:sz w:val="16"/>
                <w:szCs w:val="16"/>
                <w:lang w:val="x-none"/>
              </w:rPr>
              <w:t xml:space="preserve"> while it is not supported to reconfigure SCell in that way</w:t>
            </w:r>
          </w:p>
        </w:tc>
      </w:tr>
      <w:tr w:rsidR="00CD46BE" w:rsidRPr="00CD46BE" w14:paraId="173B6EFE" w14:textId="77777777" w:rsidTr="007123E5">
        <w:tc>
          <w:tcPr>
            <w:tcW w:w="2821" w:type="dxa"/>
            <w:tcBorders>
              <w:top w:val="single" w:sz="4" w:space="0" w:color="auto"/>
              <w:left w:val="single" w:sz="4" w:space="0" w:color="auto"/>
              <w:bottom w:val="single" w:sz="4" w:space="0" w:color="auto"/>
              <w:right w:val="single" w:sz="4" w:space="0" w:color="auto"/>
            </w:tcBorders>
            <w:hideMark/>
          </w:tcPr>
          <w:p w14:paraId="261CAB06" w14:textId="32F86C89" w:rsidR="007123E5" w:rsidRDefault="00CD46BE">
            <w:pPr>
              <w:jc w:val="left"/>
              <w:rPr>
                <w:rFonts w:ascii="Courier New" w:hAnsi="Courier New" w:cs="Courier New"/>
                <w:sz w:val="14"/>
                <w:szCs w:val="14"/>
                <w:lang w:val="x-none"/>
              </w:rPr>
            </w:pPr>
            <w:r>
              <w:rPr>
                <w:rFonts w:ascii="Courier New" w:hAnsi="Courier New" w:cs="Courier New"/>
                <w:sz w:val="14"/>
                <w:szCs w:val="14"/>
                <w:lang w:val="x-none"/>
              </w:rPr>
              <w:t>PDCP-Config</w:t>
            </w:r>
          </w:p>
        </w:tc>
        <w:tc>
          <w:tcPr>
            <w:tcW w:w="4415" w:type="dxa"/>
            <w:tcBorders>
              <w:top w:val="single" w:sz="4" w:space="0" w:color="auto"/>
              <w:left w:val="single" w:sz="4" w:space="0" w:color="auto"/>
              <w:bottom w:val="single" w:sz="4" w:space="0" w:color="auto"/>
              <w:right w:val="single" w:sz="4" w:space="0" w:color="auto"/>
            </w:tcBorders>
            <w:hideMark/>
          </w:tcPr>
          <w:p w14:paraId="34D9C638" w14:textId="6B3707FA" w:rsidR="007123E5" w:rsidRPr="003A0B18" w:rsidRDefault="00CD46BE">
            <w:pPr>
              <w:jc w:val="left"/>
              <w:rPr>
                <w:rFonts w:ascii="Courier New" w:hAnsi="Courier New" w:cs="Courier New"/>
                <w:sz w:val="16"/>
                <w:szCs w:val="16"/>
                <w:lang w:val="x-none"/>
              </w:rPr>
            </w:pPr>
            <w:r w:rsidRPr="003A0B18">
              <w:rPr>
                <w:rFonts w:ascii="Courier New" w:hAnsi="Courier New" w:cs="Courier New"/>
                <w:sz w:val="14"/>
                <w:szCs w:val="14"/>
              </w:rPr>
              <w:t>pdcp-SN-SizeUL</w:t>
            </w:r>
            <w:r>
              <w:rPr>
                <w:rFonts w:ascii="Courier New" w:hAnsi="Courier New" w:cs="Courier New"/>
                <w:sz w:val="14"/>
                <w:szCs w:val="14"/>
              </w:rPr>
              <w:t xml:space="preserve"> </w:t>
            </w:r>
            <w:r w:rsidRPr="003A0B18">
              <w:rPr>
                <w:rFonts w:ascii="Courier New" w:hAnsi="Courier New" w:cs="Courier New"/>
                <w:color w:val="993366"/>
                <w:sz w:val="14"/>
                <w:szCs w:val="14"/>
              </w:rPr>
              <w:t>ENUMERATED</w:t>
            </w:r>
            <w:r w:rsidRPr="003A0B18">
              <w:rPr>
                <w:rFonts w:ascii="Courier New" w:hAnsi="Courier New" w:cs="Courier New"/>
                <w:sz w:val="14"/>
                <w:szCs w:val="14"/>
              </w:rPr>
              <w:t xml:space="preserve"> {len12bits,</w:t>
            </w:r>
            <w:r>
              <w:rPr>
                <w:rFonts w:ascii="Courier New" w:hAnsi="Courier New" w:cs="Courier New"/>
                <w:sz w:val="14"/>
                <w:szCs w:val="14"/>
              </w:rPr>
              <w:t xml:space="preserve"> </w:t>
            </w:r>
            <w:r w:rsidRPr="003A0B18">
              <w:rPr>
                <w:rFonts w:ascii="Courier New" w:hAnsi="Courier New" w:cs="Courier New"/>
                <w:sz w:val="14"/>
                <w:szCs w:val="14"/>
              </w:rPr>
              <w:t>len18bits}</w:t>
            </w:r>
            <w:r>
              <w:rPr>
                <w:rFonts w:ascii="Courier New" w:hAnsi="Courier New" w:cs="Courier New"/>
                <w:sz w:val="14"/>
                <w:szCs w:val="14"/>
              </w:rPr>
              <w:t xml:space="preserve">  </w:t>
            </w:r>
            <w:r w:rsidRPr="003A0B18">
              <w:rPr>
                <w:rFonts w:ascii="Courier New" w:hAnsi="Courier New" w:cs="Courier New"/>
                <w:color w:val="993366"/>
                <w:sz w:val="14"/>
                <w:szCs w:val="14"/>
              </w:rPr>
              <w:t>OPTIONAL</w:t>
            </w:r>
            <w:r w:rsidRPr="003A0B18">
              <w:rPr>
                <w:rFonts w:ascii="Courier New" w:hAnsi="Courier New" w:cs="Courier New"/>
                <w:sz w:val="14"/>
                <w:szCs w:val="14"/>
              </w:rPr>
              <w:t xml:space="preserve">, </w:t>
            </w:r>
            <w:r w:rsidRPr="003A0B18">
              <w:rPr>
                <w:rFonts w:ascii="Courier New" w:hAnsi="Courier New" w:cs="Courier New"/>
                <w:color w:val="808080"/>
                <w:sz w:val="14"/>
                <w:szCs w:val="14"/>
              </w:rPr>
              <w:t>-- Cond Setup1</w:t>
            </w:r>
          </w:p>
        </w:tc>
        <w:tc>
          <w:tcPr>
            <w:tcW w:w="2959" w:type="dxa"/>
            <w:tcBorders>
              <w:top w:val="single" w:sz="4" w:space="0" w:color="auto"/>
              <w:left w:val="single" w:sz="4" w:space="0" w:color="auto"/>
              <w:bottom w:val="single" w:sz="4" w:space="0" w:color="auto"/>
              <w:right w:val="single" w:sz="4" w:space="0" w:color="auto"/>
            </w:tcBorders>
            <w:hideMark/>
          </w:tcPr>
          <w:p w14:paraId="21961F4C" w14:textId="404457C4" w:rsidR="007123E5" w:rsidRDefault="00CD46BE">
            <w:pPr>
              <w:jc w:val="left"/>
              <w:rPr>
                <w:sz w:val="16"/>
                <w:szCs w:val="16"/>
                <w:lang w:val="x-none"/>
              </w:rPr>
            </w:pPr>
            <w:r>
              <w:rPr>
                <w:sz w:val="16"/>
                <w:szCs w:val="16"/>
                <w:lang w:val="x-none"/>
              </w:rPr>
              <w:t>PDCP SN size for UL of a DRB can be reconfigured on the fly, while it is not supported by PDCP specification</w:t>
            </w:r>
          </w:p>
        </w:tc>
      </w:tr>
      <w:tr w:rsidR="00CD46BE" w:rsidRPr="00CD46BE" w14:paraId="796500B1" w14:textId="77777777" w:rsidTr="007123E5">
        <w:tc>
          <w:tcPr>
            <w:tcW w:w="2821" w:type="dxa"/>
            <w:tcBorders>
              <w:top w:val="single" w:sz="4" w:space="0" w:color="auto"/>
              <w:left w:val="single" w:sz="4" w:space="0" w:color="auto"/>
              <w:bottom w:val="single" w:sz="4" w:space="0" w:color="auto"/>
              <w:right w:val="single" w:sz="4" w:space="0" w:color="auto"/>
            </w:tcBorders>
          </w:tcPr>
          <w:p w14:paraId="22DE3F7B" w14:textId="3E7077F9" w:rsidR="00CD46BE" w:rsidRDefault="00CD46BE">
            <w:pPr>
              <w:jc w:val="left"/>
              <w:rPr>
                <w:rFonts w:ascii="Courier New" w:hAnsi="Courier New" w:cs="Courier New"/>
                <w:sz w:val="14"/>
                <w:szCs w:val="14"/>
                <w:lang w:val="x-none"/>
              </w:rPr>
            </w:pPr>
            <w:r>
              <w:rPr>
                <w:rFonts w:ascii="Courier New" w:hAnsi="Courier New" w:cs="Courier New"/>
                <w:sz w:val="14"/>
                <w:szCs w:val="14"/>
                <w:lang w:val="x-none"/>
              </w:rPr>
              <w:t>PDSCH-ServingCellConfig</w:t>
            </w:r>
          </w:p>
        </w:tc>
        <w:tc>
          <w:tcPr>
            <w:tcW w:w="4415" w:type="dxa"/>
            <w:tcBorders>
              <w:top w:val="single" w:sz="4" w:space="0" w:color="auto"/>
              <w:left w:val="single" w:sz="4" w:space="0" w:color="auto"/>
              <w:bottom w:val="single" w:sz="4" w:space="0" w:color="auto"/>
              <w:right w:val="single" w:sz="4" w:space="0" w:color="auto"/>
            </w:tcBorders>
          </w:tcPr>
          <w:p w14:paraId="4336290D" w14:textId="3CABC43E" w:rsidR="00CD46BE" w:rsidRPr="003A0B18" w:rsidRDefault="00CD46BE">
            <w:pPr>
              <w:jc w:val="left"/>
              <w:rPr>
                <w:rFonts w:ascii="Courier New" w:hAnsi="Courier New" w:cs="Courier New"/>
                <w:sz w:val="16"/>
                <w:szCs w:val="16"/>
              </w:rPr>
            </w:pPr>
            <w:r w:rsidRPr="003A0B18">
              <w:rPr>
                <w:rFonts w:ascii="Courier New" w:hAnsi="Courier New" w:cs="Courier New"/>
                <w:sz w:val="14"/>
                <w:szCs w:val="14"/>
              </w:rPr>
              <w:t>pucch-Cell</w:t>
            </w:r>
            <w:r>
              <w:rPr>
                <w:rFonts w:ascii="Courier New" w:hAnsi="Courier New" w:cs="Courier New"/>
                <w:sz w:val="14"/>
                <w:szCs w:val="14"/>
              </w:rPr>
              <w:t xml:space="preserve"> </w:t>
            </w:r>
            <w:r w:rsidRPr="003A0B18">
              <w:rPr>
                <w:rFonts w:ascii="Courier New" w:hAnsi="Courier New" w:cs="Courier New"/>
                <w:sz w:val="14"/>
                <w:szCs w:val="14"/>
              </w:rPr>
              <w:t>ServCellIndex</w:t>
            </w:r>
            <w:r>
              <w:rPr>
                <w:rFonts w:ascii="Courier New" w:hAnsi="Courier New" w:cs="Courier New"/>
                <w:sz w:val="14"/>
                <w:szCs w:val="14"/>
              </w:rPr>
              <w:t xml:space="preserve"> </w:t>
            </w:r>
            <w:r w:rsidRPr="003A0B18">
              <w:rPr>
                <w:rFonts w:ascii="Courier New" w:hAnsi="Courier New" w:cs="Courier New"/>
                <w:color w:val="993366"/>
                <w:sz w:val="14"/>
                <w:szCs w:val="14"/>
              </w:rPr>
              <w:t>OPTIONAL</w:t>
            </w:r>
            <w:r w:rsidRPr="003A0B18">
              <w:rPr>
                <w:rFonts w:ascii="Courier New" w:hAnsi="Courier New" w:cs="Courier New"/>
                <w:sz w:val="14"/>
                <w:szCs w:val="14"/>
              </w:rPr>
              <w:t xml:space="preserve">, </w:t>
            </w:r>
            <w:r w:rsidRPr="003A0B18">
              <w:rPr>
                <w:rFonts w:ascii="Courier New" w:hAnsi="Courier New" w:cs="Courier New"/>
                <w:color w:val="808080"/>
                <w:sz w:val="14"/>
                <w:szCs w:val="14"/>
              </w:rPr>
              <w:t>-- Cond SCellAddOnly</w:t>
            </w:r>
          </w:p>
        </w:tc>
        <w:tc>
          <w:tcPr>
            <w:tcW w:w="2959" w:type="dxa"/>
            <w:tcBorders>
              <w:top w:val="single" w:sz="4" w:space="0" w:color="auto"/>
              <w:left w:val="single" w:sz="4" w:space="0" w:color="auto"/>
              <w:bottom w:val="single" w:sz="4" w:space="0" w:color="auto"/>
              <w:right w:val="single" w:sz="4" w:space="0" w:color="auto"/>
            </w:tcBorders>
          </w:tcPr>
          <w:p w14:paraId="0FD1A99F" w14:textId="355CEE4D" w:rsidR="00CD46BE" w:rsidRPr="003A0B18" w:rsidRDefault="00CD46BE">
            <w:pPr>
              <w:jc w:val="left"/>
              <w:rPr>
                <w:sz w:val="16"/>
                <w:szCs w:val="16"/>
              </w:rPr>
            </w:pPr>
            <w:r>
              <w:rPr>
                <w:sz w:val="16"/>
                <w:szCs w:val="16"/>
              </w:rPr>
              <w:t>PUCCH cell of non-PUCCH SCell can be reconfigured, which is not supported operation</w:t>
            </w:r>
          </w:p>
        </w:tc>
      </w:tr>
      <w:tr w:rsidR="00CD46BE" w:rsidRPr="00CD46BE" w14:paraId="10126C9D" w14:textId="77777777" w:rsidTr="007123E5">
        <w:tc>
          <w:tcPr>
            <w:tcW w:w="2821" w:type="dxa"/>
            <w:tcBorders>
              <w:top w:val="single" w:sz="4" w:space="0" w:color="auto"/>
              <w:left w:val="single" w:sz="4" w:space="0" w:color="auto"/>
              <w:bottom w:val="single" w:sz="4" w:space="0" w:color="auto"/>
              <w:right w:val="single" w:sz="4" w:space="0" w:color="auto"/>
            </w:tcBorders>
            <w:hideMark/>
          </w:tcPr>
          <w:p w14:paraId="5E1DCB95" w14:textId="127138F1" w:rsidR="007123E5" w:rsidRDefault="00CD46BE" w:rsidP="007123E5">
            <w:pPr>
              <w:jc w:val="left"/>
              <w:rPr>
                <w:rFonts w:ascii="Courier New" w:hAnsi="Courier New" w:cs="Courier New"/>
                <w:sz w:val="14"/>
                <w:szCs w:val="14"/>
                <w:lang w:val="x-none"/>
              </w:rPr>
            </w:pPr>
            <w:r>
              <w:rPr>
                <w:rFonts w:ascii="Courier New" w:hAnsi="Courier New" w:cs="Courier New"/>
                <w:sz w:val="14"/>
                <w:szCs w:val="14"/>
                <w:lang w:val="x-none"/>
              </w:rPr>
              <w:t>SearchSpace</w:t>
            </w:r>
          </w:p>
        </w:tc>
        <w:tc>
          <w:tcPr>
            <w:tcW w:w="4415" w:type="dxa"/>
            <w:tcBorders>
              <w:top w:val="single" w:sz="4" w:space="0" w:color="auto"/>
              <w:left w:val="single" w:sz="4" w:space="0" w:color="auto"/>
              <w:bottom w:val="single" w:sz="4" w:space="0" w:color="auto"/>
              <w:right w:val="single" w:sz="4" w:space="0" w:color="auto"/>
            </w:tcBorders>
            <w:hideMark/>
          </w:tcPr>
          <w:p w14:paraId="3817EDA5" w14:textId="4492EE60" w:rsidR="007123E5" w:rsidRPr="003A0B18" w:rsidRDefault="00CD46BE" w:rsidP="007123E5">
            <w:pPr>
              <w:jc w:val="left"/>
              <w:rPr>
                <w:rFonts w:ascii="Courier New" w:hAnsi="Courier New" w:cs="Courier New"/>
                <w:sz w:val="16"/>
                <w:szCs w:val="16"/>
              </w:rPr>
            </w:pPr>
            <w:r w:rsidRPr="003A0B18">
              <w:rPr>
                <w:rFonts w:ascii="Courier New" w:hAnsi="Courier New" w:cs="Courier New"/>
                <w:sz w:val="14"/>
                <w:szCs w:val="14"/>
              </w:rPr>
              <w:t>controlResourceSetId</w:t>
            </w:r>
            <w:r>
              <w:rPr>
                <w:rFonts w:ascii="Courier New" w:hAnsi="Courier New" w:cs="Courier New"/>
                <w:sz w:val="14"/>
                <w:szCs w:val="14"/>
              </w:rPr>
              <w:t xml:space="preserve"> </w:t>
            </w:r>
            <w:r w:rsidRPr="003A0B18">
              <w:rPr>
                <w:rFonts w:ascii="Courier New" w:hAnsi="Courier New" w:cs="Courier New"/>
                <w:sz w:val="14"/>
                <w:szCs w:val="14"/>
              </w:rPr>
              <w:t>ControlResourceSetId</w:t>
            </w:r>
            <w:r>
              <w:rPr>
                <w:rFonts w:ascii="Courier New" w:hAnsi="Courier New" w:cs="Courier New"/>
                <w:sz w:val="14"/>
                <w:szCs w:val="14"/>
              </w:rPr>
              <w:t xml:space="preserve">  </w:t>
            </w:r>
            <w:r w:rsidRPr="003A0B18">
              <w:rPr>
                <w:rFonts w:ascii="Courier New" w:hAnsi="Courier New" w:cs="Courier New"/>
                <w:color w:val="993366"/>
                <w:sz w:val="14"/>
                <w:szCs w:val="14"/>
              </w:rPr>
              <w:t>OPTIONAL</w:t>
            </w:r>
            <w:r w:rsidRPr="003A0B18">
              <w:rPr>
                <w:rFonts w:ascii="Courier New" w:hAnsi="Courier New" w:cs="Courier New"/>
                <w:sz w:val="14"/>
                <w:szCs w:val="14"/>
              </w:rPr>
              <w:t xml:space="preserve">,   </w:t>
            </w:r>
            <w:r w:rsidRPr="003A0B18">
              <w:rPr>
                <w:rFonts w:ascii="Courier New" w:hAnsi="Courier New" w:cs="Courier New"/>
                <w:color w:val="808080"/>
                <w:sz w:val="14"/>
                <w:szCs w:val="14"/>
              </w:rPr>
              <w:t>-- Cond SetupOnly</w:t>
            </w:r>
          </w:p>
        </w:tc>
        <w:tc>
          <w:tcPr>
            <w:tcW w:w="2959" w:type="dxa"/>
            <w:tcBorders>
              <w:top w:val="single" w:sz="4" w:space="0" w:color="auto"/>
              <w:left w:val="single" w:sz="4" w:space="0" w:color="auto"/>
              <w:bottom w:val="single" w:sz="4" w:space="0" w:color="auto"/>
              <w:right w:val="single" w:sz="4" w:space="0" w:color="auto"/>
            </w:tcBorders>
            <w:hideMark/>
          </w:tcPr>
          <w:p w14:paraId="0904969B" w14:textId="3AEEECD1" w:rsidR="007123E5" w:rsidRDefault="00CD46BE" w:rsidP="007123E5">
            <w:pPr>
              <w:jc w:val="left"/>
              <w:rPr>
                <w:sz w:val="16"/>
                <w:szCs w:val="16"/>
              </w:rPr>
            </w:pPr>
            <w:r>
              <w:rPr>
                <w:sz w:val="16"/>
                <w:szCs w:val="16"/>
              </w:rPr>
              <w:t>CORESET applicable to a search space can be reconfigured, which is not the intention</w:t>
            </w:r>
          </w:p>
        </w:tc>
      </w:tr>
      <w:tr w:rsidR="00CD46BE" w:rsidRPr="00CD46BE" w14:paraId="27456DDB" w14:textId="77777777" w:rsidTr="007123E5">
        <w:tc>
          <w:tcPr>
            <w:tcW w:w="2821" w:type="dxa"/>
            <w:tcBorders>
              <w:top w:val="single" w:sz="4" w:space="0" w:color="auto"/>
              <w:left w:val="single" w:sz="4" w:space="0" w:color="auto"/>
              <w:bottom w:val="single" w:sz="4" w:space="0" w:color="auto"/>
              <w:right w:val="single" w:sz="4" w:space="0" w:color="auto"/>
            </w:tcBorders>
            <w:hideMark/>
          </w:tcPr>
          <w:p w14:paraId="2DDD6E45" w14:textId="33CB4733" w:rsidR="007123E5" w:rsidRDefault="00CD46BE" w:rsidP="007123E5">
            <w:pPr>
              <w:jc w:val="left"/>
              <w:rPr>
                <w:rFonts w:ascii="Courier New" w:hAnsi="Courier New" w:cs="Courier New"/>
                <w:sz w:val="14"/>
                <w:szCs w:val="14"/>
                <w:lang w:val="x-none"/>
              </w:rPr>
            </w:pPr>
            <w:r>
              <w:rPr>
                <w:rFonts w:ascii="Courier New" w:hAnsi="Courier New" w:cs="Courier New"/>
                <w:sz w:val="14"/>
                <w:szCs w:val="14"/>
                <w:lang w:val="x-none"/>
              </w:rPr>
              <w:t>ServingCellConfig</w:t>
            </w:r>
          </w:p>
        </w:tc>
        <w:tc>
          <w:tcPr>
            <w:tcW w:w="4415" w:type="dxa"/>
            <w:tcBorders>
              <w:top w:val="single" w:sz="4" w:space="0" w:color="auto"/>
              <w:left w:val="single" w:sz="4" w:space="0" w:color="auto"/>
              <w:bottom w:val="single" w:sz="4" w:space="0" w:color="auto"/>
              <w:right w:val="single" w:sz="4" w:space="0" w:color="auto"/>
            </w:tcBorders>
            <w:hideMark/>
          </w:tcPr>
          <w:p w14:paraId="22DC1F7D" w14:textId="5197B2BA" w:rsidR="007123E5" w:rsidRPr="00CD46BE" w:rsidRDefault="00CD46BE" w:rsidP="007123E5">
            <w:pPr>
              <w:jc w:val="left"/>
              <w:rPr>
                <w:rFonts w:ascii="Courier New" w:hAnsi="Courier New" w:cs="Courier New"/>
                <w:sz w:val="14"/>
                <w:szCs w:val="14"/>
              </w:rPr>
            </w:pPr>
            <w:r w:rsidRPr="003A0B18">
              <w:rPr>
                <w:rFonts w:ascii="Courier New" w:hAnsi="Courier New" w:cs="Courier New"/>
                <w:sz w:val="14"/>
                <w:szCs w:val="14"/>
              </w:rPr>
              <w:t>firstActiveDownlinkBWP-Id</w:t>
            </w:r>
            <w:r>
              <w:rPr>
                <w:rFonts w:ascii="Courier New" w:hAnsi="Courier New" w:cs="Courier New"/>
                <w:sz w:val="14"/>
                <w:szCs w:val="14"/>
              </w:rPr>
              <w:t xml:space="preserve"> </w:t>
            </w:r>
            <w:r w:rsidRPr="003A0B18">
              <w:rPr>
                <w:rFonts w:ascii="Courier New" w:hAnsi="Courier New" w:cs="Courier New"/>
                <w:sz w:val="14"/>
                <w:szCs w:val="14"/>
              </w:rPr>
              <w:t>BWP-Id</w:t>
            </w:r>
            <w:r>
              <w:rPr>
                <w:rFonts w:ascii="Courier New" w:hAnsi="Courier New" w:cs="Courier New"/>
                <w:sz w:val="14"/>
                <w:szCs w:val="14"/>
              </w:rPr>
              <w:t xml:space="preserve"> </w:t>
            </w:r>
            <w:r w:rsidRPr="003A0B18">
              <w:rPr>
                <w:rFonts w:ascii="Courier New" w:hAnsi="Courier New" w:cs="Courier New"/>
                <w:color w:val="993366"/>
                <w:sz w:val="14"/>
                <w:szCs w:val="14"/>
              </w:rPr>
              <w:t>OPTIONAL</w:t>
            </w:r>
            <w:r w:rsidRPr="003A0B18">
              <w:rPr>
                <w:rFonts w:ascii="Courier New" w:hAnsi="Courier New" w:cs="Courier New"/>
                <w:sz w:val="14"/>
                <w:szCs w:val="14"/>
              </w:rPr>
              <w:t xml:space="preserve">,   </w:t>
            </w:r>
            <w:r w:rsidRPr="003A0B18">
              <w:rPr>
                <w:rFonts w:ascii="Courier New" w:hAnsi="Courier New" w:cs="Courier New"/>
                <w:color w:val="808080"/>
                <w:sz w:val="14"/>
                <w:szCs w:val="14"/>
              </w:rPr>
              <w:t>-- Cond SyncAndCellAdd</w:t>
            </w:r>
          </w:p>
        </w:tc>
        <w:tc>
          <w:tcPr>
            <w:tcW w:w="2959" w:type="dxa"/>
            <w:tcBorders>
              <w:top w:val="single" w:sz="4" w:space="0" w:color="auto"/>
              <w:left w:val="single" w:sz="4" w:space="0" w:color="auto"/>
              <w:bottom w:val="single" w:sz="4" w:space="0" w:color="auto"/>
              <w:right w:val="single" w:sz="4" w:space="0" w:color="auto"/>
            </w:tcBorders>
            <w:hideMark/>
          </w:tcPr>
          <w:p w14:paraId="71B0D0C1" w14:textId="2ACCB595" w:rsidR="007123E5" w:rsidRDefault="00CD46BE" w:rsidP="007123E5">
            <w:pPr>
              <w:jc w:val="left"/>
              <w:rPr>
                <w:sz w:val="16"/>
                <w:szCs w:val="16"/>
              </w:rPr>
            </w:pPr>
            <w:r>
              <w:rPr>
                <w:sz w:val="16"/>
                <w:szCs w:val="16"/>
              </w:rPr>
              <w:t>First active DL BWP of an SCell can be reconfigured, which is not supported</w:t>
            </w:r>
            <w:r w:rsidR="007123E5">
              <w:rPr>
                <w:sz w:val="16"/>
                <w:szCs w:val="16"/>
              </w:rPr>
              <w:t xml:space="preserve"> </w:t>
            </w:r>
          </w:p>
        </w:tc>
      </w:tr>
    </w:tbl>
    <w:p w14:paraId="0961CA25" w14:textId="77777777" w:rsidR="007123E5" w:rsidRDefault="007123E5" w:rsidP="007123E5">
      <w:pPr>
        <w:rPr>
          <w:lang w:val="en-US"/>
        </w:rPr>
      </w:pPr>
    </w:p>
    <w:p w14:paraId="7EF8D435" w14:textId="33E207F7" w:rsidR="00734015" w:rsidRDefault="00734015" w:rsidP="00D50488">
      <w:pPr>
        <w:rPr>
          <w:highlight w:val="green"/>
        </w:rPr>
      </w:pPr>
      <w:r>
        <w:rPr>
          <w:lang w:val="en-US"/>
        </w:rPr>
        <w:t xml:space="preserve">The root cause of </w:t>
      </w:r>
      <w:r w:rsidR="00ED0E4E">
        <w:rPr>
          <w:lang w:val="en-US"/>
        </w:rPr>
        <w:t xml:space="preserve">this kind of </w:t>
      </w:r>
      <w:r>
        <w:rPr>
          <w:lang w:val="en-US"/>
        </w:rPr>
        <w:t xml:space="preserve">ambiguity is </w:t>
      </w:r>
      <w:r w:rsidRPr="003A0B18">
        <w:rPr>
          <w:u w:val="single"/>
          <w:lang w:val="en-US"/>
        </w:rPr>
        <w:t xml:space="preserve">having a field for a configuration parameter which shouldn't be </w:t>
      </w:r>
      <w:r w:rsidR="00CD5C44">
        <w:rPr>
          <w:u w:val="single"/>
          <w:lang w:val="en-US"/>
        </w:rPr>
        <w:t>modified/</w:t>
      </w:r>
      <w:r w:rsidRPr="003A0B18">
        <w:rPr>
          <w:u w:val="single"/>
          <w:lang w:val="en-US"/>
        </w:rPr>
        <w:t>reconfigured</w:t>
      </w:r>
      <w:r>
        <w:rPr>
          <w:lang w:val="en-US"/>
        </w:rPr>
        <w:t xml:space="preserve"> in the signalling for reconfiguration of a feature/functionality. It should be understood that this type of ambiguity is not related to </w:t>
      </w:r>
      <w:r w:rsidR="00B76E5B">
        <w:rPr>
          <w:lang w:val="en-US"/>
        </w:rPr>
        <w:t xml:space="preserve">the </w:t>
      </w:r>
      <w:r>
        <w:rPr>
          <w:lang w:val="en-US"/>
        </w:rPr>
        <w:t xml:space="preserve">delta signalling mechanism, as regardless of existence of the delta signalling mechanism, a reconfiguration of a feature/functionality needs to be supported anyway. </w:t>
      </w:r>
      <w:r>
        <w:rPr>
          <w:lang w:val="x-none"/>
        </w:rPr>
        <w:t>Given the root cause of th</w:t>
      </w:r>
      <w:r w:rsidR="00ED0E4E">
        <w:rPr>
          <w:lang w:val="x-none"/>
        </w:rPr>
        <w:t>is kind of ambiguity</w:t>
      </w:r>
      <w:r>
        <w:rPr>
          <w:lang w:val="x-none"/>
        </w:rPr>
        <w:t xml:space="preserve">, it could be avoided by defining ASN.1 in such way that signalling for reconfiguration of a feature/functionality would not contain ASN.1 fields for configuration parameters which shouldn't be </w:t>
      </w:r>
      <w:r w:rsidR="00CD5C44">
        <w:rPr>
          <w:lang w:val="x-none"/>
        </w:rPr>
        <w:t>modified/</w:t>
      </w:r>
      <w:r>
        <w:rPr>
          <w:lang w:val="x-none"/>
        </w:rPr>
        <w:t xml:space="preserve">reconfigured. </w:t>
      </w:r>
      <w:r w:rsidR="007466D7">
        <w:rPr>
          <w:lang w:val="x-none"/>
        </w:rPr>
        <w:t>We discuss the details of the solution in this direction in Chapter 2.</w:t>
      </w:r>
      <w:r w:rsidR="00350C83">
        <w:rPr>
          <w:lang w:val="x-none"/>
        </w:rPr>
        <w:t>3</w:t>
      </w:r>
      <w:r w:rsidR="007466D7">
        <w:rPr>
          <w:lang w:val="x-none"/>
        </w:rPr>
        <w:t>.</w:t>
      </w:r>
      <w:r w:rsidR="00CC3426">
        <w:rPr>
          <w:lang w:val="x-none"/>
        </w:rPr>
        <w:t>2</w:t>
      </w:r>
      <w:r w:rsidR="007466D7">
        <w:rPr>
          <w:lang w:val="x-none"/>
        </w:rPr>
        <w:t xml:space="preserve"> below.</w:t>
      </w:r>
    </w:p>
    <w:p w14:paraId="0CEBBDE7" w14:textId="4E612366" w:rsidR="00D50488" w:rsidRDefault="00D50488" w:rsidP="007902C2">
      <w:pPr>
        <w:pStyle w:val="Observation"/>
        <w:ind w:left="1559" w:hanging="1559"/>
      </w:pPr>
      <w:r>
        <w:t xml:space="preserve">Observation </w:t>
      </w:r>
      <w:r w:rsidR="00DE053E">
        <w:t>5</w:t>
      </w:r>
      <w:r>
        <w:tab/>
        <w:t xml:space="preserve">The </w:t>
      </w:r>
      <w:r w:rsidR="00ED0E4E">
        <w:t>ambiguity "</w:t>
      </w:r>
      <w:r w:rsidR="00ED0E4E">
        <w:rPr>
          <w:lang w:val="x-none"/>
        </w:rPr>
        <w:t xml:space="preserve">UE configuration parameters which shouldn't be modified after initial configuration of a feature/functionality can be sent in subsequent over-the-air RRC messages with new values" </w:t>
      </w:r>
      <w:r w:rsidR="0081578F">
        <w:t xml:space="preserve">is </w:t>
      </w:r>
      <w:r w:rsidR="00AC41EF">
        <w:t xml:space="preserve">relatively </w:t>
      </w:r>
      <w:r w:rsidR="0081578F">
        <w:t>common in 5G RRC signalling. It is independent of the delta signalling mechanism</w:t>
      </w:r>
      <w:r>
        <w:t>, as UE reconfiguration for feature</w:t>
      </w:r>
      <w:r w:rsidR="00B715F8">
        <w:t>s</w:t>
      </w:r>
      <w:r>
        <w:t>/functionalit</w:t>
      </w:r>
      <w:r w:rsidR="00B715F8">
        <w:t>ies</w:t>
      </w:r>
      <w:r>
        <w:t xml:space="preserve"> will anyway be required.</w:t>
      </w:r>
    </w:p>
    <w:p w14:paraId="19F696EE" w14:textId="01DFA43B" w:rsidR="004737D3" w:rsidRDefault="004737D3" w:rsidP="007E4821">
      <w:pPr>
        <w:keepNext/>
        <w:spacing w:before="120"/>
        <w:rPr>
          <w:b/>
          <w:bCs/>
        </w:rPr>
      </w:pPr>
      <w:r>
        <w:rPr>
          <w:b/>
          <w:bCs/>
        </w:rPr>
        <w:t>Analysis of the 3rd Ambiguity</w:t>
      </w:r>
    </w:p>
    <w:p w14:paraId="6B14E45E" w14:textId="3634F93B" w:rsidR="00B76E5B" w:rsidRDefault="00B76E5B" w:rsidP="00D50488">
      <w:pPr>
        <w:rPr>
          <w:lang w:val="x-none"/>
        </w:rPr>
      </w:pPr>
      <w:r w:rsidRPr="00B76E5B">
        <w:rPr>
          <w:lang w:val="x-none"/>
        </w:rPr>
        <w:t>The</w:t>
      </w:r>
      <w:r>
        <w:rPr>
          <w:lang w:val="x-none"/>
        </w:rPr>
        <w:t xml:space="preserve"> 3rd ambiguity is very gener</w:t>
      </w:r>
      <w:r w:rsidR="003D5123">
        <w:rPr>
          <w:lang w:val="x-none"/>
        </w:rPr>
        <w:t>ic</w:t>
      </w:r>
      <w:r>
        <w:rPr>
          <w:lang w:val="x-none"/>
        </w:rPr>
        <w:t xml:space="preserve"> by nature, as it basically means that any part of the UE configuration </w:t>
      </w:r>
      <w:r w:rsidR="00BA54D6">
        <w:rPr>
          <w:lang w:val="x-none"/>
        </w:rPr>
        <w:t>collides</w:t>
      </w:r>
      <w:r>
        <w:rPr>
          <w:lang w:val="x-none"/>
        </w:rPr>
        <w:t xml:space="preserve"> with any other part of the configuration</w:t>
      </w:r>
      <w:r w:rsidR="00FF2C37">
        <w:rPr>
          <w:lang w:val="x-none"/>
        </w:rPr>
        <w:t xml:space="preserve"> (i.e., value or presence of any other configuration parameter)</w:t>
      </w:r>
      <w:r>
        <w:rPr>
          <w:lang w:val="x-none"/>
        </w:rPr>
        <w:t xml:space="preserve">. It is very difficult to analyze or estimate the number of ways how the UE configuration can be invalid in this way, as it is heavily related to how different </w:t>
      </w:r>
      <w:r w:rsidR="00FF2C37">
        <w:rPr>
          <w:lang w:val="x-none"/>
        </w:rPr>
        <w:t>(</w:t>
      </w:r>
      <w:r>
        <w:rPr>
          <w:lang w:val="x-none"/>
        </w:rPr>
        <w:t>RAN1</w:t>
      </w:r>
      <w:r w:rsidR="00FF2C37">
        <w:rPr>
          <w:lang w:val="x-none"/>
        </w:rPr>
        <w:t>)</w:t>
      </w:r>
      <w:r>
        <w:rPr>
          <w:lang w:val="x-none"/>
        </w:rPr>
        <w:t xml:space="preserve"> features/functionalities are designed to operate and expected to be configured</w:t>
      </w:r>
      <w:r w:rsidR="00FF2C37">
        <w:rPr>
          <w:lang w:val="x-none"/>
        </w:rPr>
        <w:t>; only minor part of these ambiguities can be found out by studying TS 38.331 (field descriptions and Cond's)</w:t>
      </w:r>
      <w:r>
        <w:rPr>
          <w:lang w:val="x-none"/>
        </w:rPr>
        <w:t xml:space="preserve">. In any case, we can safely assume there are </w:t>
      </w:r>
      <w:r w:rsidRPr="00FF2C37">
        <w:rPr>
          <w:u w:val="single"/>
          <w:lang w:val="x-none"/>
        </w:rPr>
        <w:t>hundreds (or even more) of occurrences</w:t>
      </w:r>
      <w:r>
        <w:rPr>
          <w:lang w:val="x-none"/>
        </w:rPr>
        <w:t xml:space="preserve"> of the 3rd ambiguity in 5G RRC signalling</w:t>
      </w:r>
      <w:r w:rsidR="00FF2C37">
        <w:rPr>
          <w:lang w:val="x-none"/>
        </w:rPr>
        <w:t>, and we have seen at least dozens of examples in IODT/live networks</w:t>
      </w:r>
      <w:r>
        <w:rPr>
          <w:lang w:val="x-none"/>
        </w:rPr>
        <w:t xml:space="preserve">. </w:t>
      </w:r>
    </w:p>
    <w:p w14:paraId="0C0EACD8" w14:textId="2017A877" w:rsidR="00B76E5B" w:rsidRDefault="00B76E5B" w:rsidP="00B76E5B">
      <w:pPr>
        <w:rPr>
          <w:lang w:val="en-US"/>
        </w:rPr>
      </w:pPr>
      <w:r>
        <w:rPr>
          <w:lang w:val="en-US"/>
        </w:rPr>
        <w:t>As the 3rd ambiguity is very gener</w:t>
      </w:r>
      <w:r w:rsidR="003D5123">
        <w:rPr>
          <w:lang w:val="en-US"/>
        </w:rPr>
        <w:t>ic</w:t>
      </w:r>
      <w:r>
        <w:rPr>
          <w:lang w:val="en-US"/>
        </w:rPr>
        <w:t xml:space="preserve">, it is </w:t>
      </w:r>
      <w:r w:rsidR="004737D3">
        <w:rPr>
          <w:lang w:val="en-US"/>
        </w:rPr>
        <w:t xml:space="preserve">also </w:t>
      </w:r>
      <w:r>
        <w:rPr>
          <w:lang w:val="en-US"/>
        </w:rPr>
        <w:t>not related to the delta signalling mechanism. We consider the 3rd ambiguity very difficult to be avoided by RAN2 tools (such as ASN.1 techniques) only. For this reason, we do not discuss the 3rd ambiguity further in this document.</w:t>
      </w:r>
    </w:p>
    <w:p w14:paraId="124BF9B7" w14:textId="17D1B927" w:rsidR="00C5742A" w:rsidRDefault="00C5742A" w:rsidP="00C5742A">
      <w:pPr>
        <w:pStyle w:val="Heading3"/>
      </w:pPr>
      <w:bookmarkStart w:id="6" w:name="_Ref213070020"/>
      <w:r>
        <w:t>2.</w:t>
      </w:r>
      <w:r w:rsidR="00350C83">
        <w:t>3</w:t>
      </w:r>
      <w:r>
        <w:t>.</w:t>
      </w:r>
      <w:r w:rsidR="00CC3426">
        <w:t>2</w:t>
      </w:r>
      <w:r>
        <w:tab/>
      </w:r>
      <w:r w:rsidR="004E53EA">
        <w:t>Solution</w:t>
      </w:r>
      <w:bookmarkEnd w:id="6"/>
    </w:p>
    <w:p w14:paraId="4AF3B74D" w14:textId="6C8F9ACE" w:rsidR="00FD75B3" w:rsidRDefault="00FD75B3" w:rsidP="00FD75B3">
      <w:pPr>
        <w:rPr>
          <w:lang w:val="x-none"/>
        </w:rPr>
      </w:pPr>
      <w:r>
        <w:rPr>
          <w:lang w:val="x-none"/>
        </w:rPr>
        <w:t xml:space="preserve">As observed </w:t>
      </w:r>
      <w:r w:rsidR="00A2396A">
        <w:rPr>
          <w:lang w:val="x-none"/>
        </w:rPr>
        <w:t xml:space="preserve">above </w:t>
      </w:r>
      <w:r>
        <w:rPr>
          <w:lang w:val="x-none"/>
        </w:rPr>
        <w:t xml:space="preserve">(Observation 4), the 1st ambiguity is strongly related to the delta signalling, </w:t>
      </w:r>
      <w:r w:rsidR="00A2396A">
        <w:rPr>
          <w:lang w:val="x-none"/>
        </w:rPr>
        <w:t xml:space="preserve">so </w:t>
      </w:r>
      <w:r>
        <w:rPr>
          <w:lang w:val="x-none"/>
        </w:rPr>
        <w:t>it should be avoided in 6G RRC signalling in order to make the delta signalling implementable</w:t>
      </w:r>
      <w:r w:rsidR="00350C83">
        <w:rPr>
          <w:lang w:val="x-none"/>
        </w:rPr>
        <w:t>. And of course another obvious reason to avoid the ambiguity is to make the signalling less ambiguous</w:t>
      </w:r>
      <w:r>
        <w:rPr>
          <w:lang w:val="x-none"/>
        </w:rPr>
        <w:t>.</w:t>
      </w:r>
    </w:p>
    <w:p w14:paraId="02CBE2F0" w14:textId="77777777" w:rsidR="00FD75B3" w:rsidRDefault="00FD75B3" w:rsidP="00FD75B3">
      <w:pPr>
        <w:pStyle w:val="Observation"/>
        <w:ind w:left="1559" w:hanging="1559"/>
      </w:pPr>
      <w:r>
        <w:t>Proposal 3</w:t>
      </w:r>
      <w:r>
        <w:tab/>
        <w:t>6G RRC signalling for UE configuration is defined in a way that the ambiguity "Functionally mandatory UE configuration parameters can be absent in over-the-air RRC messages for initial configuration of a feature/functionality" is avoided.</w:t>
      </w:r>
    </w:p>
    <w:p w14:paraId="4AE0BDD4" w14:textId="77777777" w:rsidR="00FD75B3" w:rsidRPr="00FD75B3" w:rsidRDefault="00FD75B3" w:rsidP="00C5742A"/>
    <w:p w14:paraId="2EFB6A08" w14:textId="6F72C361" w:rsidR="008C12CE" w:rsidRDefault="008C12CE" w:rsidP="00C5742A">
      <w:pPr>
        <w:rPr>
          <w:lang w:val="x-none"/>
        </w:rPr>
      </w:pPr>
      <w:r>
        <w:rPr>
          <w:lang w:val="x-none"/>
        </w:rPr>
        <w:lastRenderedPageBreak/>
        <w:t>As already briefly described in Chapter 2.</w:t>
      </w:r>
      <w:r w:rsidR="009162C1">
        <w:rPr>
          <w:lang w:val="x-none"/>
        </w:rPr>
        <w:t>3</w:t>
      </w:r>
      <w:r>
        <w:rPr>
          <w:lang w:val="x-none"/>
        </w:rPr>
        <w:t>.</w:t>
      </w:r>
      <w:r w:rsidR="00786883">
        <w:rPr>
          <w:lang w:val="x-none"/>
        </w:rPr>
        <w:t>1</w:t>
      </w:r>
      <w:r>
        <w:rPr>
          <w:lang w:val="x-none"/>
        </w:rPr>
        <w:t>, the 1st ambiguity could be avoided by carrying the functionally mandatory configuration parameters by mandatory ASN.1 fields in the RRC signalling for initial configuration of a feature/functionality. However, while this sounds a simple solution (just change all such fields from optional to mandatory), doing only so would dramatically increase the over-the-air message size for UE reconfiguration since many functionally mandatory configuration parameters are actually very large (such as embedded RRC message to be applied upon a mobility procedure, as an example)</w:t>
      </w:r>
      <w:r w:rsidR="006D6B3C">
        <w:rPr>
          <w:lang w:val="x-none"/>
        </w:rPr>
        <w:t>;</w:t>
      </w:r>
      <w:r>
        <w:rPr>
          <w:lang w:val="x-none"/>
        </w:rPr>
        <w:t xml:space="preserve"> if they were always carried by mandatory ASN.1 fields they would need to be signalled again every time the feature/functionality is reconfigured. To overcome this, a practical solution needs to involve using </w:t>
      </w:r>
      <w:r w:rsidRPr="003A0B18">
        <w:rPr>
          <w:u w:val="single"/>
          <w:lang w:val="x-none"/>
        </w:rPr>
        <w:t>separate ASN.1 IEs for initial configuration of a feature/functionality and for sub</w:t>
      </w:r>
      <w:r>
        <w:rPr>
          <w:u w:val="single"/>
          <w:lang w:val="x-none"/>
        </w:rPr>
        <w:t>s</w:t>
      </w:r>
      <w:r w:rsidRPr="003A0B18">
        <w:rPr>
          <w:u w:val="single"/>
          <w:lang w:val="x-none"/>
        </w:rPr>
        <w:t>equent reconfiguration of the feature/functionality</w:t>
      </w:r>
      <w:r>
        <w:rPr>
          <w:lang w:val="x-none"/>
        </w:rPr>
        <w:t xml:space="preserve">. In this solution, the functionally mandatory configuration parameters are carried by </w:t>
      </w:r>
      <w:r w:rsidRPr="003A0B18">
        <w:rPr>
          <w:u w:val="single"/>
          <w:lang w:val="x-none"/>
        </w:rPr>
        <w:t>mandatory ASN.1 fields</w:t>
      </w:r>
      <w:r>
        <w:rPr>
          <w:lang w:val="x-none"/>
        </w:rPr>
        <w:t xml:space="preserve"> in the IE used </w:t>
      </w:r>
      <w:r w:rsidRPr="003A0B18">
        <w:rPr>
          <w:u w:val="single"/>
          <w:lang w:val="x-none"/>
        </w:rPr>
        <w:t>for initial configuration</w:t>
      </w:r>
      <w:r>
        <w:rPr>
          <w:lang w:val="x-none"/>
        </w:rPr>
        <w:t xml:space="preserve"> of a feature/functionality, but are carried by </w:t>
      </w:r>
      <w:r w:rsidRPr="003A0B18">
        <w:rPr>
          <w:u w:val="single"/>
          <w:lang w:val="x-none"/>
        </w:rPr>
        <w:t>optional ASN.1 fields</w:t>
      </w:r>
      <w:r>
        <w:rPr>
          <w:lang w:val="x-none"/>
        </w:rPr>
        <w:t xml:space="preserve"> in the IE used </w:t>
      </w:r>
      <w:r w:rsidRPr="003A0B18">
        <w:rPr>
          <w:u w:val="single"/>
          <w:lang w:val="x-none"/>
        </w:rPr>
        <w:t>for reconfiguration</w:t>
      </w:r>
      <w:r>
        <w:rPr>
          <w:lang w:val="x-none"/>
        </w:rPr>
        <w:t xml:space="preserve"> of the feature/functionality. By this approach, the 1st ambiguity can be effectively avoided without introducing negative side-effect as increased over-the-air message size.</w:t>
      </w:r>
    </w:p>
    <w:p w14:paraId="1572D6FC" w14:textId="0373513D" w:rsidR="008C12CE" w:rsidRDefault="008C12CE" w:rsidP="00C5742A">
      <w:pPr>
        <w:rPr>
          <w:lang w:val="x-none"/>
        </w:rPr>
      </w:pPr>
      <w:r>
        <w:rPr>
          <w:lang w:val="x-none"/>
        </w:rPr>
        <w:t xml:space="preserve">Considering further, the separate IEs for initial configuration and subsequent reconfiguration of a feature/functionality make it also very easy to avoid the 2nd ambiguity. What it would require is simply </w:t>
      </w:r>
      <w:r w:rsidR="004F510D">
        <w:rPr>
          <w:lang w:val="x-none"/>
        </w:rPr>
        <w:t>to leave</w:t>
      </w:r>
      <w:r>
        <w:rPr>
          <w:lang w:val="x-none"/>
        </w:rPr>
        <w:t xml:space="preserve"> out the fields in the IE for reconfiguration for such configuration parameters which shouldn't be modified after initial configuration of </w:t>
      </w:r>
      <w:r w:rsidR="00541D36">
        <w:rPr>
          <w:lang w:val="x-none"/>
        </w:rPr>
        <w:t>the</w:t>
      </w:r>
      <w:r>
        <w:rPr>
          <w:lang w:val="x-none"/>
        </w:rPr>
        <w:t xml:space="preserve"> feature</w:t>
      </w:r>
      <w:r w:rsidR="00541D36">
        <w:rPr>
          <w:lang w:val="x-none"/>
        </w:rPr>
        <w:t>/functionality</w:t>
      </w:r>
      <w:r>
        <w:rPr>
          <w:lang w:val="x-none"/>
        </w:rPr>
        <w:t>. In other words, if the solution of the separate IEs is applied, it is a low</w:t>
      </w:r>
      <w:r w:rsidR="00541D36">
        <w:rPr>
          <w:lang w:val="x-none"/>
        </w:rPr>
        <w:t>-</w:t>
      </w:r>
      <w:r>
        <w:rPr>
          <w:lang w:val="x-none"/>
        </w:rPr>
        <w:t>hanging fruit to avoid also the 2nd ambiguity.</w:t>
      </w:r>
    </w:p>
    <w:p w14:paraId="7C472CAA" w14:textId="5D79F787" w:rsidR="002F515C" w:rsidRDefault="002F515C" w:rsidP="002F515C">
      <w:pPr>
        <w:pStyle w:val="Observation"/>
        <w:ind w:left="1559" w:hanging="1559"/>
      </w:pPr>
      <w:r>
        <w:t>Proposal 4</w:t>
      </w:r>
      <w:r>
        <w:tab/>
        <w:t>6G RRC signalling for UE reconfiguration is defined in a way that the ambiguity "</w:t>
      </w:r>
      <w:r>
        <w:rPr>
          <w:lang w:val="x-none"/>
        </w:rPr>
        <w:t>UE configuration parameters which shouldn't be modified after initial configuration of a feature/functionality can be sent in subsequent over-the-air RRC messages with new values</w:t>
      </w:r>
      <w:r>
        <w:t>" is avoided.</w:t>
      </w:r>
    </w:p>
    <w:p w14:paraId="06605F2C" w14:textId="5833A224" w:rsidR="005A6010" w:rsidRDefault="00A2396A" w:rsidP="008C12CE">
      <w:pPr>
        <w:rPr>
          <w:lang w:val="x-none"/>
        </w:rPr>
      </w:pPr>
      <w:r>
        <w:rPr>
          <w:lang w:val="x-none"/>
        </w:rPr>
        <w:fldChar w:fldCharType="begin"/>
      </w:r>
      <w:r>
        <w:rPr>
          <w:lang w:val="x-none"/>
        </w:rPr>
        <w:instrText xml:space="preserve"> REF _Ref213235140 \h </w:instrText>
      </w:r>
      <w:r>
        <w:rPr>
          <w:lang w:val="x-none"/>
        </w:rPr>
      </w:r>
      <w:r>
        <w:rPr>
          <w:lang w:val="x-none"/>
        </w:rPr>
        <w:fldChar w:fldCharType="separate"/>
      </w:r>
      <w:r>
        <w:t xml:space="preserve">Figure </w:t>
      </w:r>
      <w:r>
        <w:rPr>
          <w:noProof/>
        </w:rPr>
        <w:t>3</w:t>
      </w:r>
      <w:r>
        <w:rPr>
          <w:lang w:val="x-none"/>
        </w:rPr>
        <w:fldChar w:fldCharType="end"/>
      </w:r>
      <w:r>
        <w:rPr>
          <w:lang w:val="x-none"/>
        </w:rPr>
        <w:t xml:space="preserve"> shows an example how a simple </w:t>
      </w:r>
      <w:r w:rsidR="00263379">
        <w:rPr>
          <w:lang w:val="x-none"/>
        </w:rPr>
        <w:t>configuration</w:t>
      </w:r>
      <w:r>
        <w:rPr>
          <w:lang w:val="x-none"/>
        </w:rPr>
        <w:t xml:space="preserve"> </w:t>
      </w:r>
      <w:r w:rsidR="00DE06E5">
        <w:rPr>
          <w:lang w:val="x-none"/>
        </w:rPr>
        <w:t>will</w:t>
      </w:r>
      <w:r>
        <w:rPr>
          <w:lang w:val="x-none"/>
        </w:rPr>
        <w:t xml:space="preserve"> look like when separate ASN.1 IEs for initial configuration and subsequent reconfiguration </w:t>
      </w:r>
      <w:r w:rsidR="00DE06E5">
        <w:rPr>
          <w:lang w:val="x-none"/>
        </w:rPr>
        <w:t>are</w:t>
      </w:r>
      <w:r>
        <w:rPr>
          <w:lang w:val="x-none"/>
        </w:rPr>
        <w:t xml:space="preserve"> defined.</w:t>
      </w:r>
      <w:r w:rsidR="005A6010">
        <w:rPr>
          <w:lang w:val="x-none"/>
        </w:rPr>
        <w:t xml:space="preserve"> As can be observed in the "6G style" ASN.1, the 1st ambiguity is avoided as </w:t>
      </w:r>
      <w:r w:rsidR="005A6010" w:rsidRPr="005A6010">
        <w:rPr>
          <w:i/>
          <w:iCs/>
          <w:lang w:val="x-none"/>
        </w:rPr>
        <w:t>field1</w:t>
      </w:r>
      <w:r w:rsidR="005A6010">
        <w:rPr>
          <w:lang w:val="x-none"/>
        </w:rPr>
        <w:t xml:space="preserve"> and </w:t>
      </w:r>
      <w:r w:rsidR="005A6010" w:rsidRPr="005A6010">
        <w:rPr>
          <w:i/>
          <w:iCs/>
          <w:lang w:val="x-none"/>
        </w:rPr>
        <w:t>field2</w:t>
      </w:r>
      <w:r w:rsidR="005A6010">
        <w:rPr>
          <w:lang w:val="x-none"/>
        </w:rPr>
        <w:t xml:space="preserve"> are mandatory fields in </w:t>
      </w:r>
      <w:r w:rsidR="005A6010" w:rsidRPr="005A6010">
        <w:rPr>
          <w:i/>
          <w:iCs/>
          <w:lang w:val="x-none"/>
        </w:rPr>
        <w:t>MyConfigAdd</w:t>
      </w:r>
      <w:r w:rsidR="005A6010">
        <w:rPr>
          <w:lang w:val="x-none"/>
        </w:rPr>
        <w:t xml:space="preserve"> </w:t>
      </w:r>
      <w:r w:rsidR="00E64F35">
        <w:rPr>
          <w:lang w:val="x-none"/>
        </w:rPr>
        <w:t>IE</w:t>
      </w:r>
      <w:r w:rsidR="005A6010">
        <w:rPr>
          <w:lang w:val="x-none"/>
        </w:rPr>
        <w:t xml:space="preserve">. Also the 2nd ambiguity is avoided as </w:t>
      </w:r>
      <w:r w:rsidR="005A6010" w:rsidRPr="00E64F35">
        <w:rPr>
          <w:i/>
          <w:iCs/>
          <w:lang w:val="x-none"/>
        </w:rPr>
        <w:t>field2</w:t>
      </w:r>
      <w:r w:rsidR="005A6010">
        <w:rPr>
          <w:lang w:val="x-none"/>
        </w:rPr>
        <w:t xml:space="preserve"> does not exist in </w:t>
      </w:r>
      <w:r w:rsidR="005A6010" w:rsidRPr="005A6010">
        <w:rPr>
          <w:i/>
          <w:iCs/>
          <w:lang w:val="x-none"/>
        </w:rPr>
        <w:t>MyConfigMod</w:t>
      </w:r>
      <w:r w:rsidR="005A6010">
        <w:rPr>
          <w:lang w:val="x-none"/>
        </w:rPr>
        <w:t xml:space="preserve"> IE. Furthermore, the over-the-air RRC message size for reconfiguration remains small, as the network needs to signal only those fields in </w:t>
      </w:r>
      <w:r w:rsidR="005A6010" w:rsidRPr="005A6010">
        <w:rPr>
          <w:i/>
          <w:iCs/>
          <w:lang w:val="x-none"/>
        </w:rPr>
        <w:t>MyConfigMod</w:t>
      </w:r>
      <w:r w:rsidR="005A6010">
        <w:rPr>
          <w:lang w:val="x-none"/>
        </w:rPr>
        <w:t xml:space="preserve"> for which the network actually provides new values.</w:t>
      </w:r>
    </w:p>
    <w:p w14:paraId="079A0CF2" w14:textId="7143E44C" w:rsidR="00A2396A" w:rsidRDefault="006437D5" w:rsidP="00A2396A">
      <w:pPr>
        <w:keepNext/>
        <w:jc w:val="center"/>
      </w:pPr>
      <w:r w:rsidRPr="006437D5">
        <w:rPr>
          <w:noProof/>
          <w:lang w:val="x-none"/>
        </w:rPr>
        <w:drawing>
          <wp:inline distT="0" distB="0" distL="0" distR="0" wp14:anchorId="08B7717B" wp14:editId="3BE8E91D">
            <wp:extent cx="6480175" cy="1645285"/>
            <wp:effectExtent l="0" t="0" r="0" b="0"/>
            <wp:docPr id="1129054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05444" name=""/>
                    <pic:cNvPicPr/>
                  </pic:nvPicPr>
                  <pic:blipFill>
                    <a:blip r:embed="rId20"/>
                    <a:stretch>
                      <a:fillRect/>
                    </a:stretch>
                  </pic:blipFill>
                  <pic:spPr>
                    <a:xfrm>
                      <a:off x="0" y="0"/>
                      <a:ext cx="6480175" cy="1645285"/>
                    </a:xfrm>
                    <a:prstGeom prst="rect">
                      <a:avLst/>
                    </a:prstGeom>
                  </pic:spPr>
                </pic:pic>
              </a:graphicData>
            </a:graphic>
          </wp:inline>
        </w:drawing>
      </w:r>
    </w:p>
    <w:p w14:paraId="1DF89551" w14:textId="0BBF5C81" w:rsidR="00A2396A" w:rsidRDefault="00A2396A" w:rsidP="00A2396A">
      <w:pPr>
        <w:pStyle w:val="Caption"/>
        <w:jc w:val="center"/>
        <w:rPr>
          <w:lang w:val="x-none"/>
        </w:rPr>
      </w:pPr>
      <w:bookmarkStart w:id="7" w:name="_Ref213235140"/>
      <w:r>
        <w:t xml:space="preserve">Figure </w:t>
      </w:r>
      <w:r>
        <w:fldChar w:fldCharType="begin"/>
      </w:r>
      <w:r>
        <w:instrText xml:space="preserve"> SEQ Figure \* ARABIC </w:instrText>
      </w:r>
      <w:r>
        <w:fldChar w:fldCharType="separate"/>
      </w:r>
      <w:r>
        <w:rPr>
          <w:noProof/>
        </w:rPr>
        <w:t>3</w:t>
      </w:r>
      <w:r>
        <w:fldChar w:fldCharType="end"/>
      </w:r>
      <w:bookmarkEnd w:id="7"/>
      <w:r>
        <w:t>. An example of an IE definition in 5G style and 6G style</w:t>
      </w:r>
    </w:p>
    <w:p w14:paraId="0AE16E1B" w14:textId="7C9FBA8A" w:rsidR="008C12CE" w:rsidRDefault="005A6010" w:rsidP="008C12CE">
      <w:pPr>
        <w:rPr>
          <w:lang w:val="x-none"/>
        </w:rPr>
      </w:pPr>
      <w:r>
        <w:rPr>
          <w:lang w:val="x-none"/>
        </w:rPr>
        <w:t xml:space="preserve">It should however be noted that the example above is simplified. In reality, the ASN.1 fields within IEs can be IEs themselves (not only basic types such as INTEGER) and these "child IEs" have their own </w:t>
      </w:r>
      <w:r w:rsidRPr="005A6010">
        <w:rPr>
          <w:i/>
          <w:iCs/>
          <w:lang w:val="x-none"/>
        </w:rPr>
        <w:t>Add</w:t>
      </w:r>
      <w:r>
        <w:rPr>
          <w:lang w:val="x-none"/>
        </w:rPr>
        <w:t xml:space="preserve"> and </w:t>
      </w:r>
      <w:r w:rsidRPr="005A6010">
        <w:rPr>
          <w:i/>
          <w:iCs/>
          <w:lang w:val="x-none"/>
        </w:rPr>
        <w:t>Mod</w:t>
      </w:r>
      <w:r>
        <w:rPr>
          <w:lang w:val="x-none"/>
        </w:rPr>
        <w:t xml:space="preserve"> IE versions. This means that the full, implementable solution requires further study to identity the best way to handle the parent IE - child IE relationship for configuration and reconfiguration</w:t>
      </w:r>
      <w:r w:rsidR="00303D57">
        <w:rPr>
          <w:lang w:val="x-none"/>
        </w:rPr>
        <w:t>, and other detailed aspects of the solution</w:t>
      </w:r>
      <w:r>
        <w:rPr>
          <w:lang w:val="x-none"/>
        </w:rPr>
        <w:t xml:space="preserve">. Based on all above, </w:t>
      </w:r>
      <w:r w:rsidR="008C12CE">
        <w:rPr>
          <w:lang w:val="x-none"/>
        </w:rPr>
        <w:t>we propose the following:</w:t>
      </w:r>
    </w:p>
    <w:p w14:paraId="5BA6AB5D" w14:textId="5AF977C9" w:rsidR="008C12CE" w:rsidRDefault="008C12CE" w:rsidP="008C12CE">
      <w:pPr>
        <w:pStyle w:val="Observation"/>
        <w:spacing w:after="0"/>
        <w:ind w:left="1559" w:hanging="1559"/>
      </w:pPr>
      <w:r>
        <w:t xml:space="preserve">Proposal </w:t>
      </w:r>
      <w:r w:rsidR="002F515C">
        <w:t>5</w:t>
      </w:r>
      <w:r>
        <w:tab/>
        <w:t xml:space="preserve">RAN2 to study the following ASN.1 method to make the delta signalling implementable and to avoid ambiguities in 6G RRC signalling for UE </w:t>
      </w:r>
      <w:r w:rsidR="00AA6D52">
        <w:t>(re)</w:t>
      </w:r>
      <w:r>
        <w:t>configuration:</w:t>
      </w:r>
    </w:p>
    <w:p w14:paraId="2408F0CB" w14:textId="77777777" w:rsidR="008C12CE" w:rsidRDefault="008C12CE" w:rsidP="008C12CE">
      <w:pPr>
        <w:pStyle w:val="Observation"/>
        <w:numPr>
          <w:ilvl w:val="0"/>
          <w:numId w:val="110"/>
        </w:numPr>
        <w:spacing w:after="0"/>
        <w:ind w:left="2154" w:hanging="357"/>
      </w:pPr>
      <w:r>
        <w:t>Separate ASN.1 IEs are defined for initial configuration of a feature/functionality and subsequent reconfiguration of the feature/functionality;</w:t>
      </w:r>
    </w:p>
    <w:p w14:paraId="060A65B4" w14:textId="12F4836A" w:rsidR="008C12CE" w:rsidRDefault="008C12CE" w:rsidP="008C12CE">
      <w:pPr>
        <w:pStyle w:val="Observation"/>
        <w:numPr>
          <w:ilvl w:val="0"/>
          <w:numId w:val="110"/>
        </w:numPr>
        <w:spacing w:after="0"/>
        <w:ind w:left="2154" w:hanging="357"/>
      </w:pPr>
      <w:r>
        <w:t xml:space="preserve">In the ASN.1 IE for initial configuration of </w:t>
      </w:r>
      <w:r w:rsidR="00541D36">
        <w:t>the</w:t>
      </w:r>
      <w:r>
        <w:t xml:space="preserve"> feature/functionality, functionally mandatory UE configuration parameters are carried by mandatory ASN.1 fields;</w:t>
      </w:r>
    </w:p>
    <w:p w14:paraId="57EC6894" w14:textId="77777777" w:rsidR="008C12CE" w:rsidRDefault="008C12CE" w:rsidP="008C12CE">
      <w:pPr>
        <w:pStyle w:val="Observation"/>
        <w:numPr>
          <w:ilvl w:val="0"/>
          <w:numId w:val="110"/>
        </w:numPr>
        <w:ind w:left="2154" w:hanging="357"/>
      </w:pPr>
      <w:r>
        <w:t>In the ASN.1 IE for subsequent reconfiguration of the feature/functionality, ASN.1 fields do not exist for UE configuration parameters which shouldn't be modified after initial configuration of the feature/functionality.</w:t>
      </w:r>
    </w:p>
    <w:p w14:paraId="6CA61E40" w14:textId="3BB7F5F8" w:rsidR="00190051" w:rsidRDefault="00190051" w:rsidP="00610889">
      <w:pPr>
        <w:rPr>
          <w:rFonts w:eastAsia="Times New Roman" w:cs="Times New Roman"/>
          <w:sz w:val="32"/>
          <w:lang w:eastAsia="ja-JP"/>
        </w:rPr>
      </w:pPr>
      <w:r>
        <w:br w:type="page"/>
      </w:r>
    </w:p>
    <w:p w14:paraId="1820139D" w14:textId="618D1D76" w:rsidR="000664DB" w:rsidRDefault="000664DB" w:rsidP="000664DB">
      <w:pPr>
        <w:pStyle w:val="Heading2"/>
      </w:pPr>
      <w:r>
        <w:lastRenderedPageBreak/>
        <w:t>2.</w:t>
      </w:r>
      <w:r w:rsidR="00AB288C">
        <w:t>4</w:t>
      </w:r>
      <w:r>
        <w:tab/>
        <w:t>Readability of ASN.1</w:t>
      </w:r>
    </w:p>
    <w:p w14:paraId="28ED8BBE" w14:textId="650D91AA" w:rsidR="000664DB" w:rsidRDefault="000664DB" w:rsidP="000664DB">
      <w:pPr>
        <w:rPr>
          <w:lang w:eastAsia="ja-JP"/>
        </w:rPr>
      </w:pPr>
      <w:r>
        <w:rPr>
          <w:lang w:eastAsia="ja-JP"/>
        </w:rPr>
        <w:t xml:space="preserve">In RAN2#131bis, </w:t>
      </w:r>
      <w:r w:rsidR="00190051">
        <w:rPr>
          <w:lang w:eastAsia="ja-JP"/>
        </w:rPr>
        <w:t>human</w:t>
      </w:r>
      <w:r>
        <w:rPr>
          <w:lang w:eastAsia="ja-JP"/>
        </w:rPr>
        <w:t xml:space="preserve"> readability of (5G) RRC ASN.1 </w:t>
      </w:r>
      <w:r w:rsidR="00190051">
        <w:rPr>
          <w:lang w:eastAsia="ja-JP"/>
        </w:rPr>
        <w:t>was discussed to have</w:t>
      </w:r>
      <w:r>
        <w:rPr>
          <w:lang w:eastAsia="ja-JP"/>
        </w:rPr>
        <w:t xml:space="preserve"> room for improvement for 6G</w:t>
      </w:r>
      <w:r w:rsidR="00190051">
        <w:rPr>
          <w:lang w:eastAsia="ja-JP"/>
        </w:rPr>
        <w:t xml:space="preserve"> (R2-2507172) </w:t>
      </w:r>
      <w:r w:rsidR="00190051">
        <w:rPr>
          <w:lang w:eastAsia="ja-JP"/>
        </w:rPr>
        <w:fldChar w:fldCharType="begin"/>
      </w:r>
      <w:r w:rsidR="00190051">
        <w:rPr>
          <w:lang w:eastAsia="ja-JP"/>
        </w:rPr>
        <w:instrText xml:space="preserve"> REF _Ref212800303 \r </w:instrText>
      </w:r>
      <w:r w:rsidR="00190051">
        <w:rPr>
          <w:lang w:eastAsia="ja-JP"/>
        </w:rPr>
        <w:fldChar w:fldCharType="separate"/>
      </w:r>
      <w:r w:rsidR="003A0B18">
        <w:rPr>
          <w:lang w:eastAsia="ja-JP"/>
        </w:rPr>
        <w:t>[4]</w:t>
      </w:r>
      <w:r w:rsidR="00190051">
        <w:rPr>
          <w:lang w:eastAsia="ja-JP"/>
        </w:rPr>
        <w:fldChar w:fldCharType="end"/>
      </w:r>
      <w:r>
        <w:rPr>
          <w:lang w:eastAsia="ja-JP"/>
        </w:rPr>
        <w:t>. Related to the concept of readability of ASN.1, we think there are many flavours of readability and even many flavour</w:t>
      </w:r>
      <w:r w:rsidR="007C503B">
        <w:rPr>
          <w:lang w:eastAsia="ja-JP"/>
        </w:rPr>
        <w:t>s</w:t>
      </w:r>
      <w:r>
        <w:rPr>
          <w:lang w:eastAsia="ja-JP"/>
        </w:rPr>
        <w:t xml:space="preserve"> of human readability, which we discuss below.</w:t>
      </w:r>
    </w:p>
    <w:p w14:paraId="4DE39757" w14:textId="6CCA7DCA" w:rsidR="000719D8" w:rsidRDefault="000664DB" w:rsidP="000664DB">
      <w:pPr>
        <w:rPr>
          <w:lang w:eastAsia="ja-JP"/>
        </w:rPr>
      </w:pPr>
      <w:r>
        <w:rPr>
          <w:lang w:eastAsia="ja-JP"/>
        </w:rPr>
        <w:t xml:space="preserve">For readability of ASN.1, we can consider </w:t>
      </w:r>
      <w:r w:rsidRPr="003A0B18">
        <w:rPr>
          <w:i/>
          <w:iCs/>
          <w:lang w:eastAsia="ja-JP"/>
        </w:rPr>
        <w:t>machine readability</w:t>
      </w:r>
      <w:r>
        <w:rPr>
          <w:lang w:eastAsia="ja-JP"/>
        </w:rPr>
        <w:t xml:space="preserve"> and </w:t>
      </w:r>
      <w:r w:rsidRPr="003A0B18">
        <w:rPr>
          <w:i/>
          <w:iCs/>
          <w:lang w:eastAsia="ja-JP"/>
        </w:rPr>
        <w:t>human readability</w:t>
      </w:r>
      <w:r>
        <w:rPr>
          <w:lang w:eastAsia="ja-JP"/>
        </w:rPr>
        <w:t xml:space="preserve">, which we can further divide into </w:t>
      </w:r>
      <w:r w:rsidRPr="003A0B18">
        <w:rPr>
          <w:i/>
          <w:iCs/>
          <w:lang w:eastAsia="ja-JP"/>
        </w:rPr>
        <w:t>delegate readability</w:t>
      </w:r>
      <w:r>
        <w:rPr>
          <w:lang w:eastAsia="ja-JP"/>
        </w:rPr>
        <w:t xml:space="preserve"> and </w:t>
      </w:r>
      <w:r w:rsidR="00F3764E">
        <w:rPr>
          <w:i/>
          <w:iCs/>
          <w:lang w:eastAsia="ja-JP"/>
        </w:rPr>
        <w:t>developer</w:t>
      </w:r>
      <w:r w:rsidRPr="003A0B18">
        <w:rPr>
          <w:i/>
          <w:iCs/>
          <w:lang w:eastAsia="ja-JP"/>
        </w:rPr>
        <w:t xml:space="preserve"> readability</w:t>
      </w:r>
      <w:r>
        <w:rPr>
          <w:lang w:eastAsia="ja-JP"/>
        </w:rPr>
        <w:t xml:space="preserve">, shown in </w:t>
      </w:r>
      <w:r w:rsidR="00F3764E">
        <w:rPr>
          <w:lang w:eastAsia="ja-JP"/>
        </w:rPr>
        <w:fldChar w:fldCharType="begin"/>
      </w:r>
      <w:r w:rsidR="00F3764E">
        <w:rPr>
          <w:lang w:eastAsia="ja-JP"/>
        </w:rPr>
        <w:instrText xml:space="preserve"> REF _Ref212798555 </w:instrText>
      </w:r>
      <w:r w:rsidR="00F3764E">
        <w:rPr>
          <w:lang w:eastAsia="ja-JP"/>
        </w:rPr>
        <w:fldChar w:fldCharType="separate"/>
      </w:r>
      <w:r w:rsidR="003A0B18">
        <w:t xml:space="preserve">Figure </w:t>
      </w:r>
      <w:r w:rsidR="003A0B18">
        <w:rPr>
          <w:noProof/>
        </w:rPr>
        <w:t>3</w:t>
      </w:r>
      <w:r w:rsidR="00F3764E">
        <w:rPr>
          <w:lang w:eastAsia="ja-JP"/>
        </w:rPr>
        <w:fldChar w:fldCharType="end"/>
      </w:r>
      <w:r>
        <w:rPr>
          <w:lang w:eastAsia="ja-JP"/>
        </w:rPr>
        <w:t>.</w:t>
      </w:r>
      <w:r w:rsidR="000719D8">
        <w:rPr>
          <w:lang w:eastAsia="ja-JP"/>
        </w:rPr>
        <w:t xml:space="preserve"> With delegate readability, we refer to ASN.1 being easy to understand, update, and maintain by the 3GPP delegates. With </w:t>
      </w:r>
      <w:r w:rsidR="00A00E99">
        <w:rPr>
          <w:lang w:eastAsia="ja-JP"/>
        </w:rPr>
        <w:t>developer</w:t>
      </w:r>
      <w:r w:rsidR="000719D8">
        <w:rPr>
          <w:lang w:eastAsia="ja-JP"/>
        </w:rPr>
        <w:t xml:space="preserve"> readability, we refer ASN.1 being unambiguous to understand by the developers of UEs, networks, and testing equipment. With machine readability, we refer to ASN.1 definitions themselves capturing information of intended/valid usage of signalling; captured in this way, this information is readable by the ASN.1 decoder</w:t>
      </w:r>
      <w:r w:rsidR="00A00E99">
        <w:rPr>
          <w:lang w:eastAsia="ja-JP"/>
        </w:rPr>
        <w:t xml:space="preserve"> (i.e, the machine)</w:t>
      </w:r>
      <w:r w:rsidR="00C66531">
        <w:rPr>
          <w:lang w:eastAsia="ja-JP"/>
        </w:rPr>
        <w:t xml:space="preserve"> enabling automation </w:t>
      </w:r>
      <w:r w:rsidR="00427174">
        <w:rPr>
          <w:lang w:eastAsia="ja-JP"/>
        </w:rPr>
        <w:t>of</w:t>
      </w:r>
      <w:r w:rsidR="00C66531">
        <w:rPr>
          <w:lang w:eastAsia="ja-JP"/>
        </w:rPr>
        <w:t xml:space="preserve"> ASN.1 processing in the UE and the network</w:t>
      </w:r>
      <w:r w:rsidR="000719D8">
        <w:rPr>
          <w:lang w:eastAsia="ja-JP"/>
        </w:rPr>
        <w:t>. More machine readable ASN.1 has less ambiguities discussed in Chapter 2.</w:t>
      </w:r>
      <w:r w:rsidR="00427174">
        <w:rPr>
          <w:lang w:eastAsia="ja-JP"/>
        </w:rPr>
        <w:t>3</w:t>
      </w:r>
      <w:r w:rsidR="000719D8">
        <w:rPr>
          <w:lang w:eastAsia="ja-JP"/>
        </w:rPr>
        <w:t>.</w:t>
      </w:r>
    </w:p>
    <w:p w14:paraId="59A47ECD" w14:textId="1428C0B0" w:rsidR="000664DB" w:rsidRDefault="00F3764E" w:rsidP="000664DB">
      <w:pPr>
        <w:rPr>
          <w:lang w:eastAsia="ja-JP"/>
        </w:rPr>
      </w:pPr>
      <w:r>
        <w:rPr>
          <w:lang w:eastAsia="ja-JP"/>
        </w:rPr>
        <w:t>It is important to understand that these different flavour</w:t>
      </w:r>
      <w:r w:rsidR="00A00E99">
        <w:rPr>
          <w:lang w:eastAsia="ja-JP"/>
        </w:rPr>
        <w:t>s</w:t>
      </w:r>
      <w:r>
        <w:rPr>
          <w:lang w:eastAsia="ja-JP"/>
        </w:rPr>
        <w:t xml:space="preserve"> of ASN.1 readability are not necessarily the same criteria.</w:t>
      </w:r>
      <w:r w:rsidR="000719D8" w:rsidRPr="000719D8">
        <w:rPr>
          <w:lang w:eastAsia="ja-JP"/>
        </w:rPr>
        <w:t xml:space="preserve"> </w:t>
      </w:r>
      <w:r w:rsidR="000719D8">
        <w:rPr>
          <w:lang w:eastAsia="ja-JP"/>
        </w:rPr>
        <w:t xml:space="preserve">Especially, </w:t>
      </w:r>
      <w:r w:rsidR="000719D8" w:rsidRPr="003A0B18">
        <w:rPr>
          <w:i/>
          <w:iCs/>
          <w:lang w:eastAsia="ja-JP"/>
        </w:rPr>
        <w:t>more machine readable</w:t>
      </w:r>
      <w:r w:rsidR="000719D8">
        <w:rPr>
          <w:lang w:eastAsia="ja-JP"/>
        </w:rPr>
        <w:t xml:space="preserve"> ASN.1 requires more complex ASN.1 definitions, which tend to be </w:t>
      </w:r>
      <w:r w:rsidR="000719D8" w:rsidRPr="003A0B18">
        <w:rPr>
          <w:i/>
          <w:iCs/>
          <w:lang w:eastAsia="ja-JP"/>
        </w:rPr>
        <w:t>less delegate readable</w:t>
      </w:r>
      <w:r w:rsidR="000719D8">
        <w:rPr>
          <w:lang w:eastAsia="ja-JP"/>
        </w:rPr>
        <w:t xml:space="preserve"> </w:t>
      </w:r>
      <w:r w:rsidR="00A00E99">
        <w:rPr>
          <w:lang w:eastAsia="ja-JP"/>
        </w:rPr>
        <w:t>(</w:t>
      </w:r>
      <w:r w:rsidR="000719D8">
        <w:rPr>
          <w:lang w:eastAsia="ja-JP"/>
        </w:rPr>
        <w:t xml:space="preserve">but may actually be </w:t>
      </w:r>
      <w:r w:rsidR="000719D8" w:rsidRPr="003A0B18">
        <w:rPr>
          <w:i/>
          <w:iCs/>
          <w:lang w:eastAsia="ja-JP"/>
        </w:rPr>
        <w:t>more developer readable</w:t>
      </w:r>
      <w:r w:rsidR="00A00E99" w:rsidRPr="003A0B18">
        <w:rPr>
          <w:lang w:eastAsia="ja-JP"/>
        </w:rPr>
        <w:t>)</w:t>
      </w:r>
      <w:r w:rsidR="000719D8">
        <w:rPr>
          <w:lang w:eastAsia="ja-JP"/>
        </w:rPr>
        <w:t>.</w:t>
      </w:r>
    </w:p>
    <w:p w14:paraId="65CFBB61" w14:textId="19CC8CCE" w:rsidR="000664DB" w:rsidRDefault="00F3764E" w:rsidP="003A0B18">
      <w:pPr>
        <w:keepNext/>
        <w:jc w:val="center"/>
      </w:pPr>
      <w:r w:rsidRPr="00F3764E">
        <w:rPr>
          <w:noProof/>
          <w:lang w:eastAsia="ja-JP"/>
        </w:rPr>
        <w:drawing>
          <wp:inline distT="0" distB="0" distL="0" distR="0" wp14:anchorId="19466FE4" wp14:editId="3E3F3E7E">
            <wp:extent cx="4181475" cy="2552700"/>
            <wp:effectExtent l="0" t="0" r="9525" b="0"/>
            <wp:docPr id="733829773" name="Picture 6">
              <a:extLst xmlns:a="http://schemas.openxmlformats.org/drawingml/2006/main">
                <a:ext uri="{FF2B5EF4-FFF2-40B4-BE49-F238E27FC236}">
                  <a16:creationId xmlns:a16="http://schemas.microsoft.com/office/drawing/2014/main" id="{D725E9BA-955B-F8DB-E4B3-F7D961FB8B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725E9BA-955B-F8DB-E4B3-F7D961FB8B29}"/>
                        </a:ext>
                      </a:extLst>
                    </pic:cNvPr>
                    <pic:cNvPicPr>
                      <a:picLocks noChangeAspect="1"/>
                    </pic:cNvPicPr>
                  </pic:nvPicPr>
                  <pic:blipFill>
                    <a:blip r:embed="rId21"/>
                    <a:stretch>
                      <a:fillRect/>
                    </a:stretch>
                  </pic:blipFill>
                  <pic:spPr>
                    <a:xfrm>
                      <a:off x="0" y="0"/>
                      <a:ext cx="4181475" cy="2552700"/>
                    </a:xfrm>
                    <a:prstGeom prst="rect">
                      <a:avLst/>
                    </a:prstGeom>
                  </pic:spPr>
                </pic:pic>
              </a:graphicData>
            </a:graphic>
          </wp:inline>
        </w:drawing>
      </w:r>
    </w:p>
    <w:p w14:paraId="2B31EFC6" w14:textId="1FFD9C29" w:rsidR="000664DB" w:rsidRPr="007C503B" w:rsidRDefault="000664DB" w:rsidP="003A0B18">
      <w:pPr>
        <w:pStyle w:val="Caption"/>
        <w:jc w:val="center"/>
      </w:pPr>
      <w:bookmarkStart w:id="8" w:name="_Ref212798555"/>
      <w:r>
        <w:t xml:space="preserve">Figure </w:t>
      </w:r>
      <w:r>
        <w:fldChar w:fldCharType="begin"/>
      </w:r>
      <w:r>
        <w:instrText xml:space="preserve"> SEQ Figure \* ARABIC </w:instrText>
      </w:r>
      <w:r>
        <w:fldChar w:fldCharType="separate"/>
      </w:r>
      <w:r w:rsidR="00A2396A">
        <w:rPr>
          <w:noProof/>
        </w:rPr>
        <w:t>4</w:t>
      </w:r>
      <w:r>
        <w:fldChar w:fldCharType="end"/>
      </w:r>
      <w:bookmarkEnd w:id="8"/>
      <w:r>
        <w:t>. Different flavours of ASN.1 readability</w:t>
      </w:r>
    </w:p>
    <w:p w14:paraId="0C508FB6" w14:textId="77777777" w:rsidR="003A0B18" w:rsidRDefault="003A0B18" w:rsidP="003A0B18">
      <w:r>
        <w:rPr>
          <w:lang w:eastAsia="ja-JP"/>
        </w:rPr>
        <w:t>For 6G RRC ASN.1, we think the machine readability has the highest priority, the developer readability has the second highest priority, and the delegate readability has the lowest priority.</w:t>
      </w:r>
    </w:p>
    <w:p w14:paraId="1F5FA1C9" w14:textId="3229E633" w:rsidR="00F3764E" w:rsidRDefault="003423BA" w:rsidP="00F3764E">
      <w:pPr>
        <w:pStyle w:val="Observation"/>
        <w:ind w:left="1559" w:hanging="1559"/>
      </w:pPr>
      <w:r>
        <w:t>Proposal</w:t>
      </w:r>
      <w:r w:rsidR="00F3764E">
        <w:t xml:space="preserve"> </w:t>
      </w:r>
      <w:r w:rsidR="002F515C">
        <w:t>6</w:t>
      </w:r>
      <w:r w:rsidR="00F3764E">
        <w:tab/>
      </w:r>
      <w:r>
        <w:t>For r</w:t>
      </w:r>
      <w:r w:rsidR="00F3764E">
        <w:t>eadability of ASN.1</w:t>
      </w:r>
      <w:r>
        <w:t xml:space="preserve">, RAN2 to </w:t>
      </w:r>
      <w:r w:rsidR="00F3764E">
        <w:t xml:space="preserve">consider machine readability, delegate readability, and developer readability </w:t>
      </w:r>
      <w:r>
        <w:t>of which the machine readability is considered the highest priority, the developer readability the second highest priority, and the delegate readability the lowest priority</w:t>
      </w:r>
      <w:r w:rsidR="003A0B18">
        <w:t>.</w:t>
      </w:r>
    </w:p>
    <w:p w14:paraId="4E7F34CE" w14:textId="2D8DBC61" w:rsidR="00F3764E" w:rsidRPr="00F3764E" w:rsidRDefault="00F3764E" w:rsidP="00F3764E">
      <w:pPr>
        <w:rPr>
          <w:lang w:eastAsia="ja-JP"/>
        </w:rPr>
      </w:pPr>
    </w:p>
    <w:p w14:paraId="33032ADC" w14:textId="7F64D0FC" w:rsidR="00863A63" w:rsidRDefault="00863A63" w:rsidP="007902C2">
      <w:pPr>
        <w:rPr>
          <w:rFonts w:eastAsia="Times New Roman" w:cs="Times New Roman"/>
          <w:sz w:val="36"/>
          <w:lang w:eastAsia="ja-JP"/>
        </w:rPr>
      </w:pPr>
      <w:r>
        <w:br w:type="page"/>
      </w:r>
    </w:p>
    <w:p w14:paraId="1460E885" w14:textId="604ADCBD" w:rsidR="007F2276" w:rsidRPr="00CF0FF8" w:rsidRDefault="00FD4B57" w:rsidP="00F529AE">
      <w:pPr>
        <w:pStyle w:val="Heading1"/>
        <w:jc w:val="both"/>
      </w:pPr>
      <w:r w:rsidRPr="00CF0FF8">
        <w:lastRenderedPageBreak/>
        <w:t>3</w:t>
      </w:r>
      <w:r w:rsidRPr="00CF0FF8">
        <w:tab/>
      </w:r>
      <w:r w:rsidR="007F2276" w:rsidRPr="00CF0FF8">
        <w:t>Conclusion</w:t>
      </w:r>
    </w:p>
    <w:p w14:paraId="7B9E4794" w14:textId="7167C7A8" w:rsidR="006E1C82" w:rsidRPr="00CF0FF8" w:rsidRDefault="008E065E" w:rsidP="0060035A">
      <w:r w:rsidRPr="00CF0FF8">
        <w:t xml:space="preserve">Based on the discussion in </w:t>
      </w:r>
      <w:r w:rsidR="007729A2" w:rsidRPr="00CF0FF8">
        <w:t xml:space="preserve">the previous </w:t>
      </w:r>
      <w:r w:rsidRPr="00CF0FF8">
        <w:t>section</w:t>
      </w:r>
      <w:r w:rsidR="007729A2" w:rsidRPr="00CF0FF8">
        <w:t>s</w:t>
      </w:r>
      <w:r w:rsidRPr="00CF0FF8">
        <w:t xml:space="preserve"> we</w:t>
      </w:r>
      <w:r w:rsidR="00FB4E1B" w:rsidRPr="00CF0FF8">
        <w:t xml:space="preserve"> have following observations and proposals</w:t>
      </w:r>
      <w:r w:rsidRPr="00CF0FF8">
        <w:t>:</w:t>
      </w:r>
    </w:p>
    <w:p w14:paraId="0EEC7B55" w14:textId="70F24A48" w:rsidR="009245A5" w:rsidRPr="003A0B18" w:rsidRDefault="00F02818" w:rsidP="0097662B">
      <w:pPr>
        <w:pStyle w:val="Observation"/>
        <w:rPr>
          <w:u w:val="single"/>
        </w:rPr>
      </w:pPr>
      <w:r w:rsidRPr="003A0B18">
        <w:rPr>
          <w:u w:val="single"/>
        </w:rPr>
        <w:t>UE Configuration Structure</w:t>
      </w:r>
    </w:p>
    <w:p w14:paraId="700B4CD3" w14:textId="0F42C0D6" w:rsidR="0097662B" w:rsidRPr="003A0B18" w:rsidRDefault="0097662B" w:rsidP="0097662B">
      <w:pPr>
        <w:pStyle w:val="Observation"/>
        <w:rPr>
          <w:b w:val="0"/>
          <w:bCs w:val="0"/>
        </w:rPr>
      </w:pPr>
      <w:r w:rsidRPr="003A0B18">
        <w:rPr>
          <w:b w:val="0"/>
          <w:bCs w:val="0"/>
        </w:rPr>
        <w:t>Observation 1</w:t>
      </w:r>
      <w:r w:rsidRPr="003A0B18">
        <w:rPr>
          <w:b w:val="0"/>
          <w:bCs w:val="0"/>
        </w:rPr>
        <w:tab/>
        <w:t>In 5G, a common configuration refers to the part of the UE configuration which is cell specific, i.e., same configuration is applied for all UEs operating in the cell, whereas a dedicated configuration refers to the part of the UE configuration which is specific to this particular UE.</w:t>
      </w:r>
    </w:p>
    <w:p w14:paraId="175A192F" w14:textId="00F24438" w:rsidR="0097662B" w:rsidRPr="003A0B18" w:rsidRDefault="0097662B" w:rsidP="0097662B">
      <w:pPr>
        <w:pStyle w:val="Observation"/>
        <w:ind w:left="1559" w:hanging="1559"/>
        <w:rPr>
          <w:b w:val="0"/>
          <w:bCs w:val="0"/>
        </w:rPr>
      </w:pPr>
      <w:r w:rsidRPr="003A0B18">
        <w:rPr>
          <w:b w:val="0"/>
          <w:bCs w:val="0"/>
        </w:rPr>
        <w:t>Observation 2</w:t>
      </w:r>
      <w:r w:rsidRPr="003A0B18">
        <w:rPr>
          <w:b w:val="0"/>
          <w:bCs w:val="0"/>
        </w:rPr>
        <w:tab/>
        <w:t xml:space="preserve">The concept of common and dedicated configurations makes the 5G UE configuration structure complex for both the </w:t>
      </w:r>
      <w:r w:rsidR="00343A15">
        <w:rPr>
          <w:b w:val="0"/>
          <w:bCs w:val="0"/>
        </w:rPr>
        <w:t xml:space="preserve">UE and the </w:t>
      </w:r>
      <w:r w:rsidRPr="003A0B18">
        <w:rPr>
          <w:b w:val="0"/>
          <w:bCs w:val="0"/>
        </w:rPr>
        <w:t>network. From UE's perspective, the split of the UE configuration to common and dedicated parts has no functional significance.</w:t>
      </w:r>
    </w:p>
    <w:p w14:paraId="44166ABC" w14:textId="77777777" w:rsidR="009245A5" w:rsidRDefault="009245A5" w:rsidP="009245A5">
      <w:pPr>
        <w:pStyle w:val="Observation"/>
        <w:ind w:left="1559" w:hanging="1559"/>
      </w:pPr>
      <w:r>
        <w:t>Proposal 1</w:t>
      </w:r>
      <w:r>
        <w:tab/>
        <w:t>The concept of common and dedicated configurations is not applied as a defining factor for the UE configuration structure in 6G RRC signalling.</w:t>
      </w:r>
    </w:p>
    <w:p w14:paraId="0ADB7F30" w14:textId="77777777" w:rsidR="005224AD" w:rsidRDefault="00AB288C" w:rsidP="009245A5">
      <w:pPr>
        <w:pStyle w:val="Observation"/>
        <w:rPr>
          <w:u w:val="single"/>
        </w:rPr>
      </w:pPr>
      <w:r>
        <w:rPr>
          <w:u w:val="single"/>
        </w:rPr>
        <w:t>Delta Signalling</w:t>
      </w:r>
    </w:p>
    <w:p w14:paraId="6003AAF3" w14:textId="4B79CAC0" w:rsidR="005224AD" w:rsidRDefault="005224AD" w:rsidP="005224AD">
      <w:pPr>
        <w:pStyle w:val="Observation"/>
        <w:ind w:left="1559" w:hanging="1559"/>
        <w:rPr>
          <w:b w:val="0"/>
          <w:bCs w:val="0"/>
        </w:rPr>
      </w:pPr>
      <w:r>
        <w:rPr>
          <w:b w:val="0"/>
          <w:bCs w:val="0"/>
        </w:rPr>
        <w:t xml:space="preserve">Observation </w:t>
      </w:r>
      <w:r w:rsidR="00801DA8">
        <w:rPr>
          <w:b w:val="0"/>
          <w:bCs w:val="0"/>
        </w:rPr>
        <w:t>3</w:t>
      </w:r>
      <w:r>
        <w:rPr>
          <w:b w:val="0"/>
          <w:bCs w:val="0"/>
        </w:rPr>
        <w:tab/>
      </w:r>
      <w:r w:rsidR="00F90CB0" w:rsidRPr="00F90CB0">
        <w:rPr>
          <w:b w:val="0"/>
          <w:bCs w:val="0"/>
        </w:rPr>
        <w:t>Delta signalling mechanism is worthwhile as it enables smaller over-the-air RRC messages for UE reconfiguration, which is beneficial for radio resource co</w:t>
      </w:r>
      <w:r w:rsidR="005439FA">
        <w:rPr>
          <w:b w:val="0"/>
          <w:bCs w:val="0"/>
        </w:rPr>
        <w:t>n</w:t>
      </w:r>
      <w:r w:rsidR="00F90CB0" w:rsidRPr="00F90CB0">
        <w:rPr>
          <w:b w:val="0"/>
          <w:bCs w:val="0"/>
        </w:rPr>
        <w:t>sumption and control plane latency perspective, but also significantly eases the UE in detecting which parts of the configuration are reconfigured.</w:t>
      </w:r>
    </w:p>
    <w:p w14:paraId="07C21315" w14:textId="3EEFF806" w:rsidR="005224AD" w:rsidRDefault="005224AD" w:rsidP="005224AD">
      <w:pPr>
        <w:pStyle w:val="Observation"/>
        <w:ind w:left="1559" w:hanging="1559"/>
      </w:pPr>
      <w:r>
        <w:t>Proposal 2</w:t>
      </w:r>
      <w:r>
        <w:tab/>
        <w:t>Delta signalling is applied in 6G RRC for UE reconfiguration. To make the delta signalling implementable in 6G, RAN2 targets to avoid the ambiguities related to the delta signalling mechanism.</w:t>
      </w:r>
    </w:p>
    <w:p w14:paraId="59A765B4" w14:textId="110411A3" w:rsidR="009245A5" w:rsidRPr="003A0B18" w:rsidRDefault="00AB288C" w:rsidP="009245A5">
      <w:pPr>
        <w:pStyle w:val="Observation"/>
        <w:rPr>
          <w:u w:val="single"/>
        </w:rPr>
      </w:pPr>
      <w:r>
        <w:rPr>
          <w:u w:val="single"/>
        </w:rPr>
        <w:t>ASN.1 Ambiguities</w:t>
      </w:r>
    </w:p>
    <w:p w14:paraId="3301103C" w14:textId="23A5998A" w:rsidR="00D66515" w:rsidRPr="00D66515" w:rsidRDefault="00D66515" w:rsidP="00D66515">
      <w:pPr>
        <w:pStyle w:val="Observation"/>
        <w:ind w:left="1559" w:hanging="1559"/>
        <w:rPr>
          <w:b w:val="0"/>
          <w:bCs w:val="0"/>
        </w:rPr>
      </w:pPr>
      <w:r w:rsidRPr="00D66515">
        <w:rPr>
          <w:b w:val="0"/>
          <w:bCs w:val="0"/>
        </w:rPr>
        <w:t xml:space="preserve">Observation </w:t>
      </w:r>
      <w:r w:rsidR="00DE053E">
        <w:rPr>
          <w:b w:val="0"/>
          <w:bCs w:val="0"/>
        </w:rPr>
        <w:t>4</w:t>
      </w:r>
      <w:r w:rsidRPr="00D66515">
        <w:rPr>
          <w:b w:val="0"/>
          <w:bCs w:val="0"/>
        </w:rPr>
        <w:tab/>
        <w:t>The ambiguity "Functionally mandatory UE configuration parameters can be absent in over-the-air RRC messages for initial configuration of a feature/functionality" is very common in 5G RRC signalling. Typically, an occurrence of this kind of ambiguity is a negative side-effect of the delta signalling mechanism.</w:t>
      </w:r>
    </w:p>
    <w:p w14:paraId="3A513AC9" w14:textId="5181E663" w:rsidR="00ED0E4E" w:rsidRPr="00ED0E4E" w:rsidRDefault="00ED0E4E" w:rsidP="00ED0E4E">
      <w:pPr>
        <w:pStyle w:val="Observation"/>
        <w:ind w:left="1559" w:hanging="1559"/>
        <w:rPr>
          <w:b w:val="0"/>
          <w:bCs w:val="0"/>
        </w:rPr>
      </w:pPr>
      <w:r w:rsidRPr="00ED0E4E">
        <w:rPr>
          <w:b w:val="0"/>
          <w:bCs w:val="0"/>
        </w:rPr>
        <w:t xml:space="preserve">Observation </w:t>
      </w:r>
      <w:r w:rsidR="00DE053E">
        <w:rPr>
          <w:b w:val="0"/>
          <w:bCs w:val="0"/>
        </w:rPr>
        <w:t>5</w:t>
      </w:r>
      <w:r w:rsidRPr="00ED0E4E">
        <w:rPr>
          <w:b w:val="0"/>
          <w:bCs w:val="0"/>
        </w:rPr>
        <w:tab/>
        <w:t>The ambiguity "</w:t>
      </w:r>
      <w:r w:rsidRPr="00ED0E4E">
        <w:rPr>
          <w:b w:val="0"/>
          <w:bCs w:val="0"/>
          <w:lang w:val="x-none"/>
        </w:rPr>
        <w:t xml:space="preserve">UE configuration parameters which shouldn't be modified after initial configuration of a feature/functionality can be sent in subsequent over-the-air RRC messages with new values" </w:t>
      </w:r>
      <w:r w:rsidRPr="00ED0E4E">
        <w:rPr>
          <w:b w:val="0"/>
          <w:bCs w:val="0"/>
        </w:rPr>
        <w:t>is relatively common in 5G RRC signalling. It is independent of the delta signalling mechanism, as UE reconfiguration for features/functionalities will anyway be required.</w:t>
      </w:r>
    </w:p>
    <w:p w14:paraId="01AA4B68" w14:textId="77777777" w:rsidR="00610889" w:rsidRDefault="00610889" w:rsidP="00610889">
      <w:pPr>
        <w:pStyle w:val="Observation"/>
        <w:ind w:left="1559" w:hanging="1559"/>
      </w:pPr>
      <w:r>
        <w:t>Proposal 3</w:t>
      </w:r>
      <w:r>
        <w:tab/>
        <w:t>6G RRC signalling for UE configuration is defined in a way that the ambiguity "Functionally mandatory UE configuration parameters can be absent in over-the-air RRC messages for initial configuration of a feature/functionality" is avoided.</w:t>
      </w:r>
    </w:p>
    <w:p w14:paraId="47ECB7BD" w14:textId="77777777" w:rsidR="002F515C" w:rsidRDefault="002F515C" w:rsidP="002F515C">
      <w:pPr>
        <w:pStyle w:val="Observation"/>
        <w:ind w:left="1559" w:hanging="1559"/>
      </w:pPr>
      <w:r>
        <w:t>Proposal 4</w:t>
      </w:r>
      <w:r>
        <w:tab/>
        <w:t>6G RRC signalling for UE reconfiguration is defined in a way that the ambiguity "</w:t>
      </w:r>
      <w:r>
        <w:rPr>
          <w:lang w:val="x-none"/>
        </w:rPr>
        <w:t>UE configuration parameters which shouldn't be modified after initial configuration of a feature/functionality can be sent in subsequent over-the-air RRC messages with new values</w:t>
      </w:r>
      <w:r>
        <w:t>" is avoided.</w:t>
      </w:r>
    </w:p>
    <w:p w14:paraId="3B1ED8EF" w14:textId="35FD5A58" w:rsidR="00541D36" w:rsidRDefault="00541D36" w:rsidP="00541D36">
      <w:pPr>
        <w:pStyle w:val="Observation"/>
        <w:spacing w:after="0"/>
        <w:ind w:left="1559" w:hanging="1559"/>
      </w:pPr>
      <w:r>
        <w:t xml:space="preserve">Proposal </w:t>
      </w:r>
      <w:r w:rsidR="002F515C">
        <w:t>5</w:t>
      </w:r>
      <w:r>
        <w:tab/>
        <w:t xml:space="preserve">RAN2 to study the following ASN.1 method to make the delta signalling implementable and to avoid ambiguities in 6G RRC signalling for UE </w:t>
      </w:r>
      <w:r w:rsidR="00AA6D52">
        <w:t>(re)</w:t>
      </w:r>
      <w:r>
        <w:t>configuration:</w:t>
      </w:r>
    </w:p>
    <w:p w14:paraId="29750DAF" w14:textId="77777777" w:rsidR="00541D36" w:rsidRDefault="00541D36" w:rsidP="00541D36">
      <w:pPr>
        <w:pStyle w:val="Observation"/>
        <w:numPr>
          <w:ilvl w:val="0"/>
          <w:numId w:val="110"/>
        </w:numPr>
        <w:spacing w:after="0"/>
        <w:ind w:left="2154" w:hanging="357"/>
      </w:pPr>
      <w:r>
        <w:t>Separate ASN.1 IEs are defined for initial configuration of a feature/functionality and subsequent reconfiguration of the feature/functionality;</w:t>
      </w:r>
    </w:p>
    <w:p w14:paraId="0A9AC9A5" w14:textId="77777777" w:rsidR="00541D36" w:rsidRDefault="00541D36" w:rsidP="00541D36">
      <w:pPr>
        <w:pStyle w:val="Observation"/>
        <w:numPr>
          <w:ilvl w:val="0"/>
          <w:numId w:val="110"/>
        </w:numPr>
        <w:spacing w:after="0"/>
        <w:ind w:left="2154" w:hanging="357"/>
      </w:pPr>
      <w:r>
        <w:t>In the ASN.1 IE for initial configuration of the feature/functionality, functionally mandatory UE configuration parameters are carried by mandatory ASN.1 fields;</w:t>
      </w:r>
    </w:p>
    <w:p w14:paraId="6F3674F6" w14:textId="77777777" w:rsidR="00541D36" w:rsidRDefault="00541D36" w:rsidP="00541D36">
      <w:pPr>
        <w:pStyle w:val="Observation"/>
        <w:numPr>
          <w:ilvl w:val="0"/>
          <w:numId w:val="110"/>
        </w:numPr>
        <w:ind w:left="2154" w:hanging="357"/>
      </w:pPr>
      <w:r>
        <w:t>In the ASN.1 IE for subsequent reconfiguration of the feature/functionality, ASN.1 fields do not exist for UE configuration parameters which shouldn't be modified after initial configuration of the feature/functionality.</w:t>
      </w:r>
    </w:p>
    <w:p w14:paraId="2F5D215D" w14:textId="57155479" w:rsidR="009245A5" w:rsidRPr="009B2C1B" w:rsidRDefault="009245A5" w:rsidP="009245A5">
      <w:pPr>
        <w:pStyle w:val="Observation"/>
      </w:pPr>
      <w:r w:rsidRPr="003A0B18">
        <w:rPr>
          <w:u w:val="single"/>
        </w:rPr>
        <w:t>Readability of ASN.1</w:t>
      </w:r>
    </w:p>
    <w:p w14:paraId="22D85410" w14:textId="18A94E34" w:rsidR="003423BA" w:rsidRDefault="003423BA" w:rsidP="003423BA">
      <w:pPr>
        <w:pStyle w:val="Observation"/>
        <w:ind w:left="1559" w:hanging="1559"/>
      </w:pPr>
      <w:r>
        <w:t xml:space="preserve">Proposal </w:t>
      </w:r>
      <w:r w:rsidR="002F515C">
        <w:t>6</w:t>
      </w:r>
      <w:r>
        <w:tab/>
        <w:t>For readability of ASN.1, RAN2 to consider machine readability, delegate readability, and developer readability of which the machine readability is considered the highest priority, the developer readability the second highest priority, and the delegate readability the lowest priority.</w:t>
      </w:r>
    </w:p>
    <w:p w14:paraId="0DDE5CD6" w14:textId="77777777" w:rsidR="00A14E84" w:rsidRDefault="00A14E84">
      <w:pPr>
        <w:overflowPunct/>
        <w:autoSpaceDE/>
        <w:autoSpaceDN/>
        <w:adjustRightInd/>
        <w:spacing w:after="0"/>
        <w:jc w:val="left"/>
        <w:textAlignment w:val="auto"/>
        <w:rPr>
          <w:rFonts w:eastAsia="Times New Roman" w:cs="Times New Roman"/>
          <w:sz w:val="36"/>
          <w:lang w:eastAsia="zh-CN"/>
        </w:rPr>
      </w:pPr>
      <w:r>
        <w:rPr>
          <w:lang w:eastAsia="zh-CN"/>
        </w:rPr>
        <w:br w:type="page"/>
      </w:r>
    </w:p>
    <w:p w14:paraId="5BAC85CF" w14:textId="7F161987" w:rsidR="00FB096E" w:rsidRDefault="00BD6D3F" w:rsidP="00FB096E">
      <w:pPr>
        <w:pStyle w:val="Heading1"/>
        <w:rPr>
          <w:lang w:eastAsia="zh-CN"/>
        </w:rPr>
      </w:pPr>
      <w:r w:rsidRPr="00F54003">
        <w:rPr>
          <w:lang w:eastAsia="zh-CN"/>
        </w:rPr>
        <w:lastRenderedPageBreak/>
        <w:t>4</w:t>
      </w:r>
      <w:r w:rsidRPr="00F54003">
        <w:rPr>
          <w:lang w:eastAsia="zh-CN"/>
        </w:rPr>
        <w:tab/>
      </w:r>
      <w:r w:rsidR="00FB096E" w:rsidRPr="00F54003">
        <w:rPr>
          <w:lang w:eastAsia="zh-CN"/>
        </w:rPr>
        <w:t>References</w:t>
      </w:r>
    </w:p>
    <w:p w14:paraId="14A9C661" w14:textId="55F14A58" w:rsidR="00C77FBC" w:rsidRDefault="00C77FBC" w:rsidP="00C77FBC">
      <w:pPr>
        <w:pStyle w:val="Reference"/>
        <w:numPr>
          <w:ilvl w:val="0"/>
          <w:numId w:val="87"/>
        </w:numPr>
        <w:textAlignment w:val="auto"/>
      </w:pPr>
      <w:bookmarkStart w:id="9" w:name="_Ref212017560"/>
      <w:r w:rsidRPr="00DD70FF">
        <w:t>R2-25</w:t>
      </w:r>
      <w:r w:rsidR="00BE7906">
        <w:t>0</w:t>
      </w:r>
      <w:r w:rsidRPr="00DD70FF">
        <w:t>xxxx</w:t>
      </w:r>
      <w:r>
        <w:t xml:space="preserve">: </w:t>
      </w:r>
      <w:r w:rsidR="008C12CE">
        <w:t>"</w:t>
      </w:r>
      <w:r>
        <w:t>Report of 3GPP RAN2 WG2 meeting #131bis, Prague, Czech Republic</w:t>
      </w:r>
      <w:r w:rsidR="008C12CE">
        <w:t>"</w:t>
      </w:r>
      <w:r>
        <w:t>, ETSI MCC, RAN2#131bis</w:t>
      </w:r>
      <w:bookmarkEnd w:id="9"/>
    </w:p>
    <w:p w14:paraId="336551EE" w14:textId="5FE89191" w:rsidR="00BB07E5" w:rsidRDefault="00BB07E5" w:rsidP="00C77FBC">
      <w:pPr>
        <w:pStyle w:val="Reference"/>
        <w:numPr>
          <w:ilvl w:val="0"/>
          <w:numId w:val="87"/>
        </w:numPr>
        <w:textAlignment w:val="auto"/>
      </w:pPr>
      <w:bookmarkStart w:id="10" w:name="_Ref213226775"/>
      <w:r>
        <w:t>R2-2507073: "RRC, ASN.1 and other signalling aspects for 6G", Ericsson, RAN2#131bis</w:t>
      </w:r>
      <w:bookmarkEnd w:id="10"/>
    </w:p>
    <w:p w14:paraId="305C69B7" w14:textId="699477B7" w:rsidR="00FB096E" w:rsidRDefault="00494192" w:rsidP="0060035A">
      <w:pPr>
        <w:pStyle w:val="Reference"/>
      </w:pPr>
      <w:bookmarkStart w:id="11" w:name="_Ref188351988"/>
      <w:bookmarkStart w:id="12" w:name="_Ref212032611"/>
      <w:r w:rsidRPr="00F54003">
        <w:t>R</w:t>
      </w:r>
      <w:r w:rsidR="00B54E77">
        <w:t>2</w:t>
      </w:r>
      <w:r w:rsidRPr="00F54003">
        <w:t>-25</w:t>
      </w:r>
      <w:r w:rsidR="00B54E77">
        <w:t>06957</w:t>
      </w:r>
      <w:r w:rsidR="000A7733" w:rsidRPr="00F54003">
        <w:t>:</w:t>
      </w:r>
      <w:r w:rsidR="00B54E77">
        <w:t xml:space="preserve"> </w:t>
      </w:r>
      <w:bookmarkEnd w:id="11"/>
      <w:r w:rsidR="008C12CE">
        <w:t>"</w:t>
      </w:r>
      <w:r w:rsidR="00B54E77">
        <w:t>Control plane architecture and 6G RRC protocol design</w:t>
      </w:r>
      <w:r w:rsidR="008C12CE">
        <w:t>"</w:t>
      </w:r>
      <w:r w:rsidR="000A7733" w:rsidRPr="00F54003">
        <w:t xml:space="preserve">, </w:t>
      </w:r>
      <w:r w:rsidR="00B54E77">
        <w:t>MediaTek Inc., RAN2#131bis</w:t>
      </w:r>
      <w:bookmarkEnd w:id="12"/>
    </w:p>
    <w:p w14:paraId="5F0A1062" w14:textId="1DC19231" w:rsidR="000664DB" w:rsidRPr="00F54003" w:rsidRDefault="000664DB" w:rsidP="0060035A">
      <w:pPr>
        <w:pStyle w:val="Reference"/>
      </w:pPr>
      <w:bookmarkStart w:id="13" w:name="_Ref212800303"/>
      <w:r>
        <w:t>R2-2507172: "Views on Control Plane for 6G", Qualcomm Incorporated, RAN2#131bis</w:t>
      </w:r>
      <w:bookmarkEnd w:id="13"/>
    </w:p>
    <w:sectPr w:rsidR="000664DB" w:rsidRPr="00F54003" w:rsidSect="00863A63">
      <w:footnotePr>
        <w:numRestart w:val="eachSect"/>
      </w:footnotePr>
      <w:pgSz w:w="11907" w:h="16840" w:code="9"/>
      <w:pgMar w:top="851" w:right="851" w:bottom="851" w:left="851"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89C8F" w14:textId="77777777" w:rsidR="00634D79" w:rsidRDefault="00634D79" w:rsidP="0060035A">
      <w:r>
        <w:separator/>
      </w:r>
    </w:p>
  </w:endnote>
  <w:endnote w:type="continuationSeparator" w:id="0">
    <w:p w14:paraId="761991C8" w14:textId="77777777" w:rsidR="00634D79" w:rsidRDefault="00634D79" w:rsidP="00600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C9E83" w14:textId="77777777" w:rsidR="00634D79" w:rsidRDefault="00634D79" w:rsidP="0060035A">
      <w:r>
        <w:separator/>
      </w:r>
    </w:p>
  </w:footnote>
  <w:footnote w:type="continuationSeparator" w:id="0">
    <w:p w14:paraId="4A105B8F" w14:textId="77777777" w:rsidR="00634D79" w:rsidRDefault="00634D79" w:rsidP="006003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C877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E253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3927BB"/>
    <w:multiLevelType w:val="hybridMultilevel"/>
    <w:tmpl w:val="DFDED010"/>
    <w:lvl w:ilvl="0" w:tplc="FFFFFFFF">
      <w:start w:val="1"/>
      <w:numFmt w:val="decimal"/>
      <w:lvlText w:val="Proposal %1"/>
      <w:lvlJc w:val="left"/>
      <w:pPr>
        <w:tabs>
          <w:tab w:val="num" w:pos="1304"/>
        </w:tabs>
        <w:ind w:left="1304" w:hanging="1304"/>
      </w:pPr>
      <w:rPr>
        <w:rFonts w:ascii="Arial" w:hAnsi="Arial" w:cs="Aria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0B41F07"/>
    <w:multiLevelType w:val="hybridMultilevel"/>
    <w:tmpl w:val="28ACADD0"/>
    <w:lvl w:ilvl="0" w:tplc="040B000F">
      <w:start w:val="1"/>
      <w:numFmt w:val="decimal"/>
      <w:lvlText w:val="%1."/>
      <w:lvlJc w:val="left"/>
      <w:pPr>
        <w:ind w:left="360" w:hanging="360"/>
      </w:p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5" w15:restartNumberingAfterBreak="0">
    <w:nsid w:val="01BD70A3"/>
    <w:multiLevelType w:val="hybridMultilevel"/>
    <w:tmpl w:val="F938610E"/>
    <w:lvl w:ilvl="0" w:tplc="040B0001">
      <w:start w:val="1"/>
      <w:numFmt w:val="bullet"/>
      <w:lvlText w:val=""/>
      <w:lvlJc w:val="left"/>
      <w:pPr>
        <w:ind w:left="2277" w:hanging="360"/>
      </w:pPr>
      <w:rPr>
        <w:rFonts w:ascii="Symbol" w:hAnsi="Symbol" w:hint="default"/>
      </w:rPr>
    </w:lvl>
    <w:lvl w:ilvl="1" w:tplc="040B0003">
      <w:start w:val="1"/>
      <w:numFmt w:val="bullet"/>
      <w:lvlText w:val="o"/>
      <w:lvlJc w:val="left"/>
      <w:pPr>
        <w:ind w:left="2997" w:hanging="360"/>
      </w:pPr>
      <w:rPr>
        <w:rFonts w:ascii="Courier New" w:hAnsi="Courier New" w:cs="Courier New" w:hint="default"/>
      </w:rPr>
    </w:lvl>
    <w:lvl w:ilvl="2" w:tplc="040B0005" w:tentative="1">
      <w:start w:val="1"/>
      <w:numFmt w:val="bullet"/>
      <w:lvlText w:val=""/>
      <w:lvlJc w:val="left"/>
      <w:pPr>
        <w:ind w:left="3717" w:hanging="360"/>
      </w:pPr>
      <w:rPr>
        <w:rFonts w:ascii="Wingdings" w:hAnsi="Wingdings" w:hint="default"/>
      </w:rPr>
    </w:lvl>
    <w:lvl w:ilvl="3" w:tplc="040B0001" w:tentative="1">
      <w:start w:val="1"/>
      <w:numFmt w:val="bullet"/>
      <w:lvlText w:val=""/>
      <w:lvlJc w:val="left"/>
      <w:pPr>
        <w:ind w:left="4437" w:hanging="360"/>
      </w:pPr>
      <w:rPr>
        <w:rFonts w:ascii="Symbol" w:hAnsi="Symbol" w:hint="default"/>
      </w:rPr>
    </w:lvl>
    <w:lvl w:ilvl="4" w:tplc="040B0003" w:tentative="1">
      <w:start w:val="1"/>
      <w:numFmt w:val="bullet"/>
      <w:lvlText w:val="o"/>
      <w:lvlJc w:val="left"/>
      <w:pPr>
        <w:ind w:left="5157" w:hanging="360"/>
      </w:pPr>
      <w:rPr>
        <w:rFonts w:ascii="Courier New" w:hAnsi="Courier New" w:cs="Courier New" w:hint="default"/>
      </w:rPr>
    </w:lvl>
    <w:lvl w:ilvl="5" w:tplc="040B0005" w:tentative="1">
      <w:start w:val="1"/>
      <w:numFmt w:val="bullet"/>
      <w:lvlText w:val=""/>
      <w:lvlJc w:val="left"/>
      <w:pPr>
        <w:ind w:left="5877" w:hanging="360"/>
      </w:pPr>
      <w:rPr>
        <w:rFonts w:ascii="Wingdings" w:hAnsi="Wingdings" w:hint="default"/>
      </w:rPr>
    </w:lvl>
    <w:lvl w:ilvl="6" w:tplc="040B0001" w:tentative="1">
      <w:start w:val="1"/>
      <w:numFmt w:val="bullet"/>
      <w:lvlText w:val=""/>
      <w:lvlJc w:val="left"/>
      <w:pPr>
        <w:ind w:left="6597" w:hanging="360"/>
      </w:pPr>
      <w:rPr>
        <w:rFonts w:ascii="Symbol" w:hAnsi="Symbol" w:hint="default"/>
      </w:rPr>
    </w:lvl>
    <w:lvl w:ilvl="7" w:tplc="040B0003" w:tentative="1">
      <w:start w:val="1"/>
      <w:numFmt w:val="bullet"/>
      <w:lvlText w:val="o"/>
      <w:lvlJc w:val="left"/>
      <w:pPr>
        <w:ind w:left="7317" w:hanging="360"/>
      </w:pPr>
      <w:rPr>
        <w:rFonts w:ascii="Courier New" w:hAnsi="Courier New" w:cs="Courier New" w:hint="default"/>
      </w:rPr>
    </w:lvl>
    <w:lvl w:ilvl="8" w:tplc="040B0005" w:tentative="1">
      <w:start w:val="1"/>
      <w:numFmt w:val="bullet"/>
      <w:lvlText w:val=""/>
      <w:lvlJc w:val="left"/>
      <w:pPr>
        <w:ind w:left="8037" w:hanging="360"/>
      </w:pPr>
      <w:rPr>
        <w:rFonts w:ascii="Wingdings" w:hAnsi="Wingdings" w:hint="default"/>
      </w:rPr>
    </w:lvl>
  </w:abstractNum>
  <w:abstractNum w:abstractNumId="6" w15:restartNumberingAfterBreak="0">
    <w:nsid w:val="0208297E"/>
    <w:multiLevelType w:val="hybridMultilevel"/>
    <w:tmpl w:val="2BD056CE"/>
    <w:lvl w:ilvl="0" w:tplc="CF5C8CF8">
      <w:start w:val="1"/>
      <w:numFmt w:val="bullet"/>
      <w:pStyle w:val="ListParagraph"/>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988462A"/>
    <w:multiLevelType w:val="hybridMultilevel"/>
    <w:tmpl w:val="EE12CF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20A4AF8"/>
    <w:multiLevelType w:val="hybridMultilevel"/>
    <w:tmpl w:val="884C627E"/>
    <w:lvl w:ilvl="0" w:tplc="423C460E">
      <w:start w:val="1"/>
      <w:numFmt w:val="decimal"/>
      <w:lvlText w:val="Solution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570289"/>
    <w:multiLevelType w:val="hybridMultilevel"/>
    <w:tmpl w:val="DEFAC98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88D0372"/>
    <w:multiLevelType w:val="hybridMultilevel"/>
    <w:tmpl w:val="5C081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456F2D"/>
    <w:multiLevelType w:val="hybridMultilevel"/>
    <w:tmpl w:val="CE90E6E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F62CA7"/>
    <w:multiLevelType w:val="hybridMultilevel"/>
    <w:tmpl w:val="9022F8BA"/>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8673831"/>
    <w:multiLevelType w:val="hybridMultilevel"/>
    <w:tmpl w:val="03C85522"/>
    <w:lvl w:ilvl="0" w:tplc="C7464C88">
      <w:start w:val="1"/>
      <w:numFmt w:val="decimal"/>
      <w:lvlText w:val="%1."/>
      <w:lvlJc w:val="left"/>
      <w:pPr>
        <w:ind w:left="920" w:hanging="5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D502B2"/>
    <w:multiLevelType w:val="hybridMultilevel"/>
    <w:tmpl w:val="0C00E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2FB2010E"/>
    <w:multiLevelType w:val="hybridMultilevel"/>
    <w:tmpl w:val="246EF9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0044D51"/>
    <w:multiLevelType w:val="hybridMultilevel"/>
    <w:tmpl w:val="703E7662"/>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017993"/>
    <w:multiLevelType w:val="hybridMultilevel"/>
    <w:tmpl w:val="C36E0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34F1C05"/>
    <w:multiLevelType w:val="hybridMultilevel"/>
    <w:tmpl w:val="68587602"/>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39F2042"/>
    <w:multiLevelType w:val="hybridMultilevel"/>
    <w:tmpl w:val="005886F2"/>
    <w:lvl w:ilvl="0" w:tplc="040B0001">
      <w:start w:val="1"/>
      <w:numFmt w:val="bullet"/>
      <w:lvlText w:val=""/>
      <w:lvlJc w:val="left"/>
      <w:pPr>
        <w:ind w:left="2277" w:hanging="360"/>
      </w:pPr>
      <w:rPr>
        <w:rFonts w:ascii="Symbol" w:hAnsi="Symbol" w:hint="default"/>
      </w:rPr>
    </w:lvl>
    <w:lvl w:ilvl="1" w:tplc="040B0003" w:tentative="1">
      <w:start w:val="1"/>
      <w:numFmt w:val="bullet"/>
      <w:lvlText w:val="o"/>
      <w:lvlJc w:val="left"/>
      <w:pPr>
        <w:ind w:left="2997" w:hanging="360"/>
      </w:pPr>
      <w:rPr>
        <w:rFonts w:ascii="Courier New" w:hAnsi="Courier New" w:cs="Courier New" w:hint="default"/>
      </w:rPr>
    </w:lvl>
    <w:lvl w:ilvl="2" w:tplc="040B0005" w:tentative="1">
      <w:start w:val="1"/>
      <w:numFmt w:val="bullet"/>
      <w:lvlText w:val=""/>
      <w:lvlJc w:val="left"/>
      <w:pPr>
        <w:ind w:left="3717" w:hanging="360"/>
      </w:pPr>
      <w:rPr>
        <w:rFonts w:ascii="Wingdings" w:hAnsi="Wingdings" w:hint="default"/>
      </w:rPr>
    </w:lvl>
    <w:lvl w:ilvl="3" w:tplc="040B0001" w:tentative="1">
      <w:start w:val="1"/>
      <w:numFmt w:val="bullet"/>
      <w:lvlText w:val=""/>
      <w:lvlJc w:val="left"/>
      <w:pPr>
        <w:ind w:left="4437" w:hanging="360"/>
      </w:pPr>
      <w:rPr>
        <w:rFonts w:ascii="Symbol" w:hAnsi="Symbol" w:hint="default"/>
      </w:rPr>
    </w:lvl>
    <w:lvl w:ilvl="4" w:tplc="040B0003" w:tentative="1">
      <w:start w:val="1"/>
      <w:numFmt w:val="bullet"/>
      <w:lvlText w:val="o"/>
      <w:lvlJc w:val="left"/>
      <w:pPr>
        <w:ind w:left="5157" w:hanging="360"/>
      </w:pPr>
      <w:rPr>
        <w:rFonts w:ascii="Courier New" w:hAnsi="Courier New" w:cs="Courier New" w:hint="default"/>
      </w:rPr>
    </w:lvl>
    <w:lvl w:ilvl="5" w:tplc="040B0005" w:tentative="1">
      <w:start w:val="1"/>
      <w:numFmt w:val="bullet"/>
      <w:lvlText w:val=""/>
      <w:lvlJc w:val="left"/>
      <w:pPr>
        <w:ind w:left="5877" w:hanging="360"/>
      </w:pPr>
      <w:rPr>
        <w:rFonts w:ascii="Wingdings" w:hAnsi="Wingdings" w:hint="default"/>
      </w:rPr>
    </w:lvl>
    <w:lvl w:ilvl="6" w:tplc="040B0001" w:tentative="1">
      <w:start w:val="1"/>
      <w:numFmt w:val="bullet"/>
      <w:lvlText w:val=""/>
      <w:lvlJc w:val="left"/>
      <w:pPr>
        <w:ind w:left="6597" w:hanging="360"/>
      </w:pPr>
      <w:rPr>
        <w:rFonts w:ascii="Symbol" w:hAnsi="Symbol" w:hint="default"/>
      </w:rPr>
    </w:lvl>
    <w:lvl w:ilvl="7" w:tplc="040B0003" w:tentative="1">
      <w:start w:val="1"/>
      <w:numFmt w:val="bullet"/>
      <w:lvlText w:val="o"/>
      <w:lvlJc w:val="left"/>
      <w:pPr>
        <w:ind w:left="7317" w:hanging="360"/>
      </w:pPr>
      <w:rPr>
        <w:rFonts w:ascii="Courier New" w:hAnsi="Courier New" w:cs="Courier New" w:hint="default"/>
      </w:rPr>
    </w:lvl>
    <w:lvl w:ilvl="8" w:tplc="040B0005" w:tentative="1">
      <w:start w:val="1"/>
      <w:numFmt w:val="bullet"/>
      <w:lvlText w:val=""/>
      <w:lvlJc w:val="left"/>
      <w:pPr>
        <w:ind w:left="8037" w:hanging="360"/>
      </w:pPr>
      <w:rPr>
        <w:rFonts w:ascii="Wingdings" w:hAnsi="Wingdings" w:hint="default"/>
      </w:rPr>
    </w:lvl>
  </w:abstractNum>
  <w:abstractNum w:abstractNumId="2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69702DE"/>
    <w:multiLevelType w:val="hybridMultilevel"/>
    <w:tmpl w:val="3B5A3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868271C"/>
    <w:multiLevelType w:val="hybridMultilevel"/>
    <w:tmpl w:val="1B6EC0D2"/>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1" w15:restartNumberingAfterBreak="0">
    <w:nsid w:val="3AA46647"/>
    <w:multiLevelType w:val="hybridMultilevel"/>
    <w:tmpl w:val="3B9E9844"/>
    <w:lvl w:ilvl="0" w:tplc="D97ACF40">
      <w:start w:val="1"/>
      <w:numFmt w:val="decimal"/>
      <w:pStyle w:val="Proposal"/>
      <w:lvlText w:val="Proposal %1"/>
      <w:lvlJc w:val="left"/>
      <w:pPr>
        <w:tabs>
          <w:tab w:val="num" w:pos="1304"/>
        </w:tabs>
        <w:ind w:left="1304" w:hanging="1304"/>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354E6CEE">
      <w:numFmt w:val="bullet"/>
      <w:lvlText w:val="-"/>
      <w:lvlJc w:val="left"/>
      <w:pPr>
        <w:ind w:left="2340" w:hanging="360"/>
      </w:pPr>
      <w:rPr>
        <w:rFonts w:ascii="Arial" w:eastAsia="PMingLiU"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403B52F2"/>
    <w:multiLevelType w:val="hybridMultilevel"/>
    <w:tmpl w:val="B7A0F27E"/>
    <w:lvl w:ilvl="0" w:tplc="734EF300">
      <w:start w:val="1"/>
      <w:numFmt w:val="bullet"/>
      <w:lvlText w:val="–"/>
      <w:lvlJc w:val="left"/>
      <w:pPr>
        <w:tabs>
          <w:tab w:val="num" w:pos="720"/>
        </w:tabs>
        <w:ind w:left="720" w:hanging="360"/>
      </w:pPr>
      <w:rPr>
        <w:rFonts w:ascii="Calibri Light" w:hAnsi="Calibri Light" w:hint="default"/>
      </w:rPr>
    </w:lvl>
    <w:lvl w:ilvl="1" w:tplc="08E6A570">
      <w:start w:val="1"/>
      <w:numFmt w:val="bullet"/>
      <w:lvlText w:val="–"/>
      <w:lvlJc w:val="left"/>
      <w:pPr>
        <w:tabs>
          <w:tab w:val="num" w:pos="1440"/>
        </w:tabs>
        <w:ind w:left="1440" w:hanging="360"/>
      </w:pPr>
      <w:rPr>
        <w:rFonts w:ascii="Calibri Light" w:hAnsi="Calibri Light" w:hint="default"/>
      </w:rPr>
    </w:lvl>
    <w:lvl w:ilvl="2" w:tplc="369C8230" w:tentative="1">
      <w:start w:val="1"/>
      <w:numFmt w:val="bullet"/>
      <w:lvlText w:val="–"/>
      <w:lvlJc w:val="left"/>
      <w:pPr>
        <w:tabs>
          <w:tab w:val="num" w:pos="2160"/>
        </w:tabs>
        <w:ind w:left="2160" w:hanging="360"/>
      </w:pPr>
      <w:rPr>
        <w:rFonts w:ascii="Calibri Light" w:hAnsi="Calibri Light" w:hint="default"/>
      </w:rPr>
    </w:lvl>
    <w:lvl w:ilvl="3" w:tplc="E2A6A448" w:tentative="1">
      <w:start w:val="1"/>
      <w:numFmt w:val="bullet"/>
      <w:lvlText w:val="–"/>
      <w:lvlJc w:val="left"/>
      <w:pPr>
        <w:tabs>
          <w:tab w:val="num" w:pos="2880"/>
        </w:tabs>
        <w:ind w:left="2880" w:hanging="360"/>
      </w:pPr>
      <w:rPr>
        <w:rFonts w:ascii="Calibri Light" w:hAnsi="Calibri Light" w:hint="default"/>
      </w:rPr>
    </w:lvl>
    <w:lvl w:ilvl="4" w:tplc="0270C5FC" w:tentative="1">
      <w:start w:val="1"/>
      <w:numFmt w:val="bullet"/>
      <w:lvlText w:val="–"/>
      <w:lvlJc w:val="left"/>
      <w:pPr>
        <w:tabs>
          <w:tab w:val="num" w:pos="3600"/>
        </w:tabs>
        <w:ind w:left="3600" w:hanging="360"/>
      </w:pPr>
      <w:rPr>
        <w:rFonts w:ascii="Calibri Light" w:hAnsi="Calibri Light" w:hint="default"/>
      </w:rPr>
    </w:lvl>
    <w:lvl w:ilvl="5" w:tplc="DF569920" w:tentative="1">
      <w:start w:val="1"/>
      <w:numFmt w:val="bullet"/>
      <w:lvlText w:val="–"/>
      <w:lvlJc w:val="left"/>
      <w:pPr>
        <w:tabs>
          <w:tab w:val="num" w:pos="4320"/>
        </w:tabs>
        <w:ind w:left="4320" w:hanging="360"/>
      </w:pPr>
      <w:rPr>
        <w:rFonts w:ascii="Calibri Light" w:hAnsi="Calibri Light" w:hint="default"/>
      </w:rPr>
    </w:lvl>
    <w:lvl w:ilvl="6" w:tplc="FB522232" w:tentative="1">
      <w:start w:val="1"/>
      <w:numFmt w:val="bullet"/>
      <w:lvlText w:val="–"/>
      <w:lvlJc w:val="left"/>
      <w:pPr>
        <w:tabs>
          <w:tab w:val="num" w:pos="5040"/>
        </w:tabs>
        <w:ind w:left="5040" w:hanging="360"/>
      </w:pPr>
      <w:rPr>
        <w:rFonts w:ascii="Calibri Light" w:hAnsi="Calibri Light" w:hint="default"/>
      </w:rPr>
    </w:lvl>
    <w:lvl w:ilvl="7" w:tplc="295E7750" w:tentative="1">
      <w:start w:val="1"/>
      <w:numFmt w:val="bullet"/>
      <w:lvlText w:val="–"/>
      <w:lvlJc w:val="left"/>
      <w:pPr>
        <w:tabs>
          <w:tab w:val="num" w:pos="5760"/>
        </w:tabs>
        <w:ind w:left="5760" w:hanging="360"/>
      </w:pPr>
      <w:rPr>
        <w:rFonts w:ascii="Calibri Light" w:hAnsi="Calibri Light" w:hint="default"/>
      </w:rPr>
    </w:lvl>
    <w:lvl w:ilvl="8" w:tplc="990AC16E" w:tentative="1">
      <w:start w:val="1"/>
      <w:numFmt w:val="bullet"/>
      <w:lvlText w:val="–"/>
      <w:lvlJc w:val="left"/>
      <w:pPr>
        <w:tabs>
          <w:tab w:val="num" w:pos="6480"/>
        </w:tabs>
        <w:ind w:left="6480" w:hanging="360"/>
      </w:pPr>
      <w:rPr>
        <w:rFonts w:ascii="Calibri Light" w:hAnsi="Calibri Light" w:hint="default"/>
      </w:rPr>
    </w:lvl>
  </w:abstractNum>
  <w:abstractNum w:abstractNumId="3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01505E"/>
    <w:multiLevelType w:val="hybridMultilevel"/>
    <w:tmpl w:val="1CF8A442"/>
    <w:lvl w:ilvl="0" w:tplc="E4D450D0">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507F46"/>
    <w:multiLevelType w:val="hybridMultilevel"/>
    <w:tmpl w:val="98BAB8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0B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33D2332"/>
    <w:multiLevelType w:val="hybridMultilevel"/>
    <w:tmpl w:val="BD3078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54772CA6"/>
    <w:multiLevelType w:val="hybridMultilevel"/>
    <w:tmpl w:val="18FCCF3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C1706E3C">
      <w:start w:val="1"/>
      <w:numFmt w:val="bullet"/>
      <w:lvlText w:val="-"/>
      <w:lvlJc w:val="left"/>
      <w:pPr>
        <w:ind w:left="2160" w:hanging="360"/>
      </w:pPr>
      <w:rPr>
        <w:rFonts w:ascii="Times New Roma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16E06F5"/>
    <w:multiLevelType w:val="hybridMultilevel"/>
    <w:tmpl w:val="3758B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2F46CD6"/>
    <w:multiLevelType w:val="hybridMultilevel"/>
    <w:tmpl w:val="EDB26ECE"/>
    <w:lvl w:ilvl="0" w:tplc="FFFFFFFF">
      <w:start w:val="1"/>
      <w:numFmt w:val="decimal"/>
      <w:lvlText w:val="Proposal %1"/>
      <w:lvlJc w:val="left"/>
      <w:pPr>
        <w:tabs>
          <w:tab w:val="num" w:pos="1304"/>
        </w:tabs>
        <w:ind w:left="1304" w:hanging="1304"/>
      </w:pPr>
      <w:rPr>
        <w:rFonts w:ascii="Arial" w:hAnsi="Arial" w:cs="Arial" w:hint="default"/>
      </w:rPr>
    </w:lvl>
    <w:lvl w:ilvl="1" w:tplc="040B0001">
      <w:start w:val="1"/>
      <w:numFmt w:val="bullet"/>
      <w:lvlText w:val=""/>
      <w:lvlJc w:val="left"/>
      <w:pPr>
        <w:ind w:left="1440" w:hanging="360"/>
      </w:pPr>
      <w:rPr>
        <w:rFonts w:ascii="Symbol" w:hAnsi="Symbol" w:hint="default"/>
      </w:rPr>
    </w:lvl>
    <w:lvl w:ilvl="2" w:tplc="FFFFFFFF">
      <w:numFmt w:val="bullet"/>
      <w:lvlText w:val="-"/>
      <w:lvlJc w:val="left"/>
      <w:pPr>
        <w:ind w:left="2340" w:hanging="360"/>
      </w:pPr>
      <w:rPr>
        <w:rFonts w:ascii="Arial" w:eastAsia="PMingLiU"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06055EA"/>
    <w:multiLevelType w:val="hybridMultilevel"/>
    <w:tmpl w:val="0760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217231D"/>
    <w:multiLevelType w:val="hybridMultilevel"/>
    <w:tmpl w:val="5364AD68"/>
    <w:lvl w:ilvl="0" w:tplc="040B000F">
      <w:start w:val="1"/>
      <w:numFmt w:val="decimal"/>
      <w:lvlText w:val="%1."/>
      <w:lvlJc w:val="left"/>
      <w:pPr>
        <w:ind w:left="2061" w:hanging="360"/>
      </w:pPr>
      <w:rPr>
        <w:rFonts w:hint="default"/>
      </w:rPr>
    </w:lvl>
    <w:lvl w:ilvl="1" w:tplc="FFFFFFFF">
      <w:start w:val="1"/>
      <w:numFmt w:val="bullet"/>
      <w:lvlText w:val="o"/>
      <w:lvlJc w:val="left"/>
      <w:pPr>
        <w:ind w:left="2781" w:hanging="360"/>
      </w:pPr>
      <w:rPr>
        <w:rFonts w:ascii="Courier New" w:hAnsi="Courier New" w:cs="Courier New" w:hint="default"/>
      </w:rPr>
    </w:lvl>
    <w:lvl w:ilvl="2" w:tplc="FFFFFFFF" w:tentative="1">
      <w:start w:val="1"/>
      <w:numFmt w:val="bullet"/>
      <w:lvlText w:val=""/>
      <w:lvlJc w:val="left"/>
      <w:pPr>
        <w:ind w:left="3501" w:hanging="360"/>
      </w:pPr>
      <w:rPr>
        <w:rFonts w:ascii="Wingdings" w:hAnsi="Wingdings" w:hint="default"/>
      </w:rPr>
    </w:lvl>
    <w:lvl w:ilvl="3" w:tplc="FFFFFFFF" w:tentative="1">
      <w:start w:val="1"/>
      <w:numFmt w:val="bullet"/>
      <w:lvlText w:val=""/>
      <w:lvlJc w:val="left"/>
      <w:pPr>
        <w:ind w:left="4221" w:hanging="360"/>
      </w:pPr>
      <w:rPr>
        <w:rFonts w:ascii="Symbol" w:hAnsi="Symbol" w:hint="default"/>
      </w:rPr>
    </w:lvl>
    <w:lvl w:ilvl="4" w:tplc="FFFFFFFF" w:tentative="1">
      <w:start w:val="1"/>
      <w:numFmt w:val="bullet"/>
      <w:lvlText w:val="o"/>
      <w:lvlJc w:val="left"/>
      <w:pPr>
        <w:ind w:left="4941" w:hanging="360"/>
      </w:pPr>
      <w:rPr>
        <w:rFonts w:ascii="Courier New" w:hAnsi="Courier New" w:cs="Courier New" w:hint="default"/>
      </w:rPr>
    </w:lvl>
    <w:lvl w:ilvl="5" w:tplc="FFFFFFFF" w:tentative="1">
      <w:start w:val="1"/>
      <w:numFmt w:val="bullet"/>
      <w:lvlText w:val=""/>
      <w:lvlJc w:val="left"/>
      <w:pPr>
        <w:ind w:left="5661" w:hanging="360"/>
      </w:pPr>
      <w:rPr>
        <w:rFonts w:ascii="Wingdings" w:hAnsi="Wingdings" w:hint="default"/>
      </w:rPr>
    </w:lvl>
    <w:lvl w:ilvl="6" w:tplc="FFFFFFFF" w:tentative="1">
      <w:start w:val="1"/>
      <w:numFmt w:val="bullet"/>
      <w:lvlText w:val=""/>
      <w:lvlJc w:val="left"/>
      <w:pPr>
        <w:ind w:left="6381" w:hanging="360"/>
      </w:pPr>
      <w:rPr>
        <w:rFonts w:ascii="Symbol" w:hAnsi="Symbol" w:hint="default"/>
      </w:rPr>
    </w:lvl>
    <w:lvl w:ilvl="7" w:tplc="FFFFFFFF" w:tentative="1">
      <w:start w:val="1"/>
      <w:numFmt w:val="bullet"/>
      <w:lvlText w:val="o"/>
      <w:lvlJc w:val="left"/>
      <w:pPr>
        <w:ind w:left="7101" w:hanging="360"/>
      </w:pPr>
      <w:rPr>
        <w:rFonts w:ascii="Courier New" w:hAnsi="Courier New" w:cs="Courier New" w:hint="default"/>
      </w:rPr>
    </w:lvl>
    <w:lvl w:ilvl="8" w:tplc="FFFFFFFF" w:tentative="1">
      <w:start w:val="1"/>
      <w:numFmt w:val="bullet"/>
      <w:lvlText w:val=""/>
      <w:lvlJc w:val="left"/>
      <w:pPr>
        <w:ind w:left="7821" w:hanging="360"/>
      </w:pPr>
      <w:rPr>
        <w:rFonts w:ascii="Wingdings" w:hAnsi="Wingdings" w:hint="default"/>
      </w:rPr>
    </w:lvl>
  </w:abstractNum>
  <w:abstractNum w:abstractNumId="51" w15:restartNumberingAfterBreak="0">
    <w:nsid w:val="72D11878"/>
    <w:multiLevelType w:val="hybridMultilevel"/>
    <w:tmpl w:val="BAEEC1E4"/>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5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3" w15:restartNumberingAfterBreak="0">
    <w:nsid w:val="75CE1EAB"/>
    <w:multiLevelType w:val="hybridMultilevel"/>
    <w:tmpl w:val="7EA01DB6"/>
    <w:lvl w:ilvl="0" w:tplc="275680F2">
      <w:start w:val="1"/>
      <w:numFmt w:val="bullet"/>
      <w:lvlText w:val="–"/>
      <w:lvlJc w:val="left"/>
      <w:pPr>
        <w:tabs>
          <w:tab w:val="num" w:pos="720"/>
        </w:tabs>
        <w:ind w:left="720" w:hanging="360"/>
      </w:pPr>
      <w:rPr>
        <w:rFonts w:ascii="Calibri Light" w:hAnsi="Calibri Light" w:hint="default"/>
      </w:rPr>
    </w:lvl>
    <w:lvl w:ilvl="1" w:tplc="4CB66B36">
      <w:start w:val="1"/>
      <w:numFmt w:val="bullet"/>
      <w:lvlText w:val="–"/>
      <w:lvlJc w:val="left"/>
      <w:pPr>
        <w:tabs>
          <w:tab w:val="num" w:pos="1440"/>
        </w:tabs>
        <w:ind w:left="1440" w:hanging="360"/>
      </w:pPr>
      <w:rPr>
        <w:rFonts w:ascii="Calibri Light" w:hAnsi="Calibri Light" w:hint="default"/>
      </w:rPr>
    </w:lvl>
    <w:lvl w:ilvl="2" w:tplc="7FFC724C" w:tentative="1">
      <w:start w:val="1"/>
      <w:numFmt w:val="bullet"/>
      <w:lvlText w:val="–"/>
      <w:lvlJc w:val="left"/>
      <w:pPr>
        <w:tabs>
          <w:tab w:val="num" w:pos="2160"/>
        </w:tabs>
        <w:ind w:left="2160" w:hanging="360"/>
      </w:pPr>
      <w:rPr>
        <w:rFonts w:ascii="Calibri Light" w:hAnsi="Calibri Light" w:hint="default"/>
      </w:rPr>
    </w:lvl>
    <w:lvl w:ilvl="3" w:tplc="3F668CFE" w:tentative="1">
      <w:start w:val="1"/>
      <w:numFmt w:val="bullet"/>
      <w:lvlText w:val="–"/>
      <w:lvlJc w:val="left"/>
      <w:pPr>
        <w:tabs>
          <w:tab w:val="num" w:pos="2880"/>
        </w:tabs>
        <w:ind w:left="2880" w:hanging="360"/>
      </w:pPr>
      <w:rPr>
        <w:rFonts w:ascii="Calibri Light" w:hAnsi="Calibri Light" w:hint="default"/>
      </w:rPr>
    </w:lvl>
    <w:lvl w:ilvl="4" w:tplc="98E4075C" w:tentative="1">
      <w:start w:val="1"/>
      <w:numFmt w:val="bullet"/>
      <w:lvlText w:val="–"/>
      <w:lvlJc w:val="left"/>
      <w:pPr>
        <w:tabs>
          <w:tab w:val="num" w:pos="3600"/>
        </w:tabs>
        <w:ind w:left="3600" w:hanging="360"/>
      </w:pPr>
      <w:rPr>
        <w:rFonts w:ascii="Calibri Light" w:hAnsi="Calibri Light" w:hint="default"/>
      </w:rPr>
    </w:lvl>
    <w:lvl w:ilvl="5" w:tplc="8CCC16BC" w:tentative="1">
      <w:start w:val="1"/>
      <w:numFmt w:val="bullet"/>
      <w:lvlText w:val="–"/>
      <w:lvlJc w:val="left"/>
      <w:pPr>
        <w:tabs>
          <w:tab w:val="num" w:pos="4320"/>
        </w:tabs>
        <w:ind w:left="4320" w:hanging="360"/>
      </w:pPr>
      <w:rPr>
        <w:rFonts w:ascii="Calibri Light" w:hAnsi="Calibri Light" w:hint="default"/>
      </w:rPr>
    </w:lvl>
    <w:lvl w:ilvl="6" w:tplc="9B9C5BF4" w:tentative="1">
      <w:start w:val="1"/>
      <w:numFmt w:val="bullet"/>
      <w:lvlText w:val="–"/>
      <w:lvlJc w:val="left"/>
      <w:pPr>
        <w:tabs>
          <w:tab w:val="num" w:pos="5040"/>
        </w:tabs>
        <w:ind w:left="5040" w:hanging="360"/>
      </w:pPr>
      <w:rPr>
        <w:rFonts w:ascii="Calibri Light" w:hAnsi="Calibri Light" w:hint="default"/>
      </w:rPr>
    </w:lvl>
    <w:lvl w:ilvl="7" w:tplc="F356BBB4" w:tentative="1">
      <w:start w:val="1"/>
      <w:numFmt w:val="bullet"/>
      <w:lvlText w:val="–"/>
      <w:lvlJc w:val="left"/>
      <w:pPr>
        <w:tabs>
          <w:tab w:val="num" w:pos="5760"/>
        </w:tabs>
        <w:ind w:left="5760" w:hanging="360"/>
      </w:pPr>
      <w:rPr>
        <w:rFonts w:ascii="Calibri Light" w:hAnsi="Calibri Light" w:hint="default"/>
      </w:rPr>
    </w:lvl>
    <w:lvl w:ilvl="8" w:tplc="6A3C156E" w:tentative="1">
      <w:start w:val="1"/>
      <w:numFmt w:val="bullet"/>
      <w:lvlText w:val="–"/>
      <w:lvlJc w:val="left"/>
      <w:pPr>
        <w:tabs>
          <w:tab w:val="num" w:pos="6480"/>
        </w:tabs>
        <w:ind w:left="6480" w:hanging="360"/>
      </w:pPr>
      <w:rPr>
        <w:rFonts w:ascii="Calibri Light" w:hAnsi="Calibri Light" w:hint="default"/>
      </w:rPr>
    </w:lvl>
  </w:abstractNum>
  <w:abstractNum w:abstractNumId="54" w15:restartNumberingAfterBreak="0">
    <w:nsid w:val="768E7FEE"/>
    <w:multiLevelType w:val="hybridMultilevel"/>
    <w:tmpl w:val="338604EA"/>
    <w:lvl w:ilvl="0" w:tplc="176A9428">
      <w:numFmt w:val="bullet"/>
      <w:lvlText w:val="-"/>
      <w:lvlJc w:val="left"/>
      <w:pPr>
        <w:ind w:left="720" w:hanging="360"/>
      </w:pPr>
      <w:rPr>
        <w:rFonts w:ascii="Arial" w:eastAsia="PMingLiU"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796F5F4D"/>
    <w:multiLevelType w:val="hybridMultilevel"/>
    <w:tmpl w:val="AD1A48C0"/>
    <w:lvl w:ilvl="0" w:tplc="FFFFFFFF">
      <w:start w:val="1"/>
      <w:numFmt w:val="bullet"/>
      <w:lvlText w:val=""/>
      <w:lvlJc w:val="left"/>
      <w:pPr>
        <w:ind w:left="2157" w:hanging="360"/>
      </w:pPr>
      <w:rPr>
        <w:rFonts w:ascii="Symbol" w:hAnsi="Symbol" w:hint="default"/>
      </w:rPr>
    </w:lvl>
    <w:lvl w:ilvl="1" w:tplc="040B0003" w:tentative="1">
      <w:start w:val="1"/>
      <w:numFmt w:val="bullet"/>
      <w:lvlText w:val="o"/>
      <w:lvlJc w:val="left"/>
      <w:pPr>
        <w:ind w:left="2877" w:hanging="360"/>
      </w:pPr>
      <w:rPr>
        <w:rFonts w:ascii="Courier New" w:hAnsi="Courier New" w:cs="Courier New" w:hint="default"/>
      </w:rPr>
    </w:lvl>
    <w:lvl w:ilvl="2" w:tplc="040B0005" w:tentative="1">
      <w:start w:val="1"/>
      <w:numFmt w:val="bullet"/>
      <w:lvlText w:val=""/>
      <w:lvlJc w:val="left"/>
      <w:pPr>
        <w:ind w:left="3597" w:hanging="360"/>
      </w:pPr>
      <w:rPr>
        <w:rFonts w:ascii="Wingdings" w:hAnsi="Wingdings" w:hint="default"/>
      </w:rPr>
    </w:lvl>
    <w:lvl w:ilvl="3" w:tplc="040B0001" w:tentative="1">
      <w:start w:val="1"/>
      <w:numFmt w:val="bullet"/>
      <w:lvlText w:val=""/>
      <w:lvlJc w:val="left"/>
      <w:pPr>
        <w:ind w:left="4317" w:hanging="360"/>
      </w:pPr>
      <w:rPr>
        <w:rFonts w:ascii="Symbol" w:hAnsi="Symbol" w:hint="default"/>
      </w:rPr>
    </w:lvl>
    <w:lvl w:ilvl="4" w:tplc="040B0003" w:tentative="1">
      <w:start w:val="1"/>
      <w:numFmt w:val="bullet"/>
      <w:lvlText w:val="o"/>
      <w:lvlJc w:val="left"/>
      <w:pPr>
        <w:ind w:left="5037" w:hanging="360"/>
      </w:pPr>
      <w:rPr>
        <w:rFonts w:ascii="Courier New" w:hAnsi="Courier New" w:cs="Courier New" w:hint="default"/>
      </w:rPr>
    </w:lvl>
    <w:lvl w:ilvl="5" w:tplc="040B0005" w:tentative="1">
      <w:start w:val="1"/>
      <w:numFmt w:val="bullet"/>
      <w:lvlText w:val=""/>
      <w:lvlJc w:val="left"/>
      <w:pPr>
        <w:ind w:left="5757" w:hanging="360"/>
      </w:pPr>
      <w:rPr>
        <w:rFonts w:ascii="Wingdings" w:hAnsi="Wingdings" w:hint="default"/>
      </w:rPr>
    </w:lvl>
    <w:lvl w:ilvl="6" w:tplc="040B0001" w:tentative="1">
      <w:start w:val="1"/>
      <w:numFmt w:val="bullet"/>
      <w:lvlText w:val=""/>
      <w:lvlJc w:val="left"/>
      <w:pPr>
        <w:ind w:left="6477" w:hanging="360"/>
      </w:pPr>
      <w:rPr>
        <w:rFonts w:ascii="Symbol" w:hAnsi="Symbol" w:hint="default"/>
      </w:rPr>
    </w:lvl>
    <w:lvl w:ilvl="7" w:tplc="040B0003" w:tentative="1">
      <w:start w:val="1"/>
      <w:numFmt w:val="bullet"/>
      <w:lvlText w:val="o"/>
      <w:lvlJc w:val="left"/>
      <w:pPr>
        <w:ind w:left="7197" w:hanging="360"/>
      </w:pPr>
      <w:rPr>
        <w:rFonts w:ascii="Courier New" w:hAnsi="Courier New" w:cs="Courier New" w:hint="default"/>
      </w:rPr>
    </w:lvl>
    <w:lvl w:ilvl="8" w:tplc="040B0005" w:tentative="1">
      <w:start w:val="1"/>
      <w:numFmt w:val="bullet"/>
      <w:lvlText w:val=""/>
      <w:lvlJc w:val="left"/>
      <w:pPr>
        <w:ind w:left="7917" w:hanging="360"/>
      </w:pPr>
      <w:rPr>
        <w:rFonts w:ascii="Wingdings" w:hAnsi="Wingdings" w:hint="default"/>
      </w:rPr>
    </w:lvl>
  </w:abstractNum>
  <w:abstractNum w:abstractNumId="5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7C31440A"/>
    <w:multiLevelType w:val="hybridMultilevel"/>
    <w:tmpl w:val="0C0A31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253582480">
    <w:abstractNumId w:val="7"/>
  </w:num>
  <w:num w:numId="2" w16cid:durableId="1639341018">
    <w:abstractNumId w:val="36"/>
  </w:num>
  <w:num w:numId="3" w16cid:durableId="149030463">
    <w:abstractNumId w:val="31"/>
  </w:num>
  <w:num w:numId="4" w16cid:durableId="1793861358">
    <w:abstractNumId w:val="32"/>
  </w:num>
  <w:num w:numId="5" w16cid:durableId="1243223580">
    <w:abstractNumId w:val="23"/>
  </w:num>
  <w:num w:numId="6" w16cid:durableId="228659845">
    <w:abstractNumId w:val="35"/>
  </w:num>
  <w:num w:numId="7" w16cid:durableId="758915933">
    <w:abstractNumId w:val="42"/>
  </w:num>
  <w:num w:numId="8" w16cid:durableId="779645832">
    <w:abstractNumId w:val="24"/>
  </w:num>
  <w:num w:numId="9" w16cid:durableId="237790278">
    <w:abstractNumId w:val="19"/>
  </w:num>
  <w:num w:numId="10" w16cid:durableId="1774858864">
    <w:abstractNumId w:val="2"/>
  </w:num>
  <w:num w:numId="11" w16cid:durableId="98722567">
    <w:abstractNumId w:val="1"/>
  </w:num>
  <w:num w:numId="12" w16cid:durableId="818768327">
    <w:abstractNumId w:val="0"/>
  </w:num>
  <w:num w:numId="13" w16cid:durableId="1463575834">
    <w:abstractNumId w:val="37"/>
  </w:num>
  <w:num w:numId="14" w16cid:durableId="1237780611">
    <w:abstractNumId w:val="38"/>
  </w:num>
  <w:num w:numId="15" w16cid:durableId="1303653466">
    <w:abstractNumId w:val="33"/>
  </w:num>
  <w:num w:numId="16" w16cid:durableId="1461000268">
    <w:abstractNumId w:val="43"/>
  </w:num>
  <w:num w:numId="17" w16cid:durableId="2068138227">
    <w:abstractNumId w:val="14"/>
  </w:num>
  <w:num w:numId="18" w16cid:durableId="458114767">
    <w:abstractNumId w:val="16"/>
  </w:num>
  <w:num w:numId="19" w16cid:durableId="995108944">
    <w:abstractNumId w:val="9"/>
  </w:num>
  <w:num w:numId="20" w16cid:durableId="822239829">
    <w:abstractNumId w:val="52"/>
  </w:num>
  <w:num w:numId="21" w16cid:durableId="976183084">
    <w:abstractNumId w:val="28"/>
  </w:num>
  <w:num w:numId="22" w16cid:durableId="1374117700">
    <w:abstractNumId w:val="47"/>
  </w:num>
  <w:num w:numId="23" w16cid:durableId="641887580">
    <w:abstractNumId w:val="48"/>
  </w:num>
  <w:num w:numId="24" w16cid:durableId="1930237104">
    <w:abstractNumId w:val="44"/>
  </w:num>
  <w:num w:numId="25" w16cid:durableId="883368040">
    <w:abstractNumId w:val="22"/>
  </w:num>
  <w:num w:numId="26" w16cid:durableId="2123258985">
    <w:abstractNumId w:val="17"/>
  </w:num>
  <w:num w:numId="27" w16cid:durableId="36855504">
    <w:abstractNumId w:val="15"/>
  </w:num>
  <w:num w:numId="28" w16cid:durableId="1863397989">
    <w:abstractNumId w:val="10"/>
  </w:num>
  <w:num w:numId="29" w16cid:durableId="483739148">
    <w:abstractNumId w:val="20"/>
  </w:num>
  <w:num w:numId="30" w16cid:durableId="1289819180">
    <w:abstractNumId w:val="46"/>
  </w:num>
  <w:num w:numId="31" w16cid:durableId="2116288603">
    <w:abstractNumId w:val="56"/>
  </w:num>
  <w:num w:numId="32" w16cid:durableId="1902667659">
    <w:abstractNumId w:val="12"/>
  </w:num>
  <w:num w:numId="33" w16cid:durableId="613099520">
    <w:abstractNumId w:val="25"/>
  </w:num>
  <w:num w:numId="34" w16cid:durableId="808982930">
    <w:abstractNumId w:val="18"/>
  </w:num>
  <w:num w:numId="35" w16cid:durableId="19683129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254369">
    <w:abstractNumId w:val="49"/>
  </w:num>
  <w:num w:numId="37" w16cid:durableId="432635005">
    <w:abstractNumId w:val="29"/>
  </w:num>
  <w:num w:numId="38" w16cid:durableId="129178265">
    <w:abstractNumId w:val="29"/>
  </w:num>
  <w:num w:numId="39" w16cid:durableId="427385486">
    <w:abstractNumId w:val="21"/>
  </w:num>
  <w:num w:numId="40" w16cid:durableId="532499376">
    <w:abstractNumId w:val="51"/>
  </w:num>
  <w:num w:numId="41" w16cid:durableId="1696541826">
    <w:abstractNumId w:val="30"/>
  </w:num>
  <w:num w:numId="42" w16cid:durableId="570701897">
    <w:abstractNumId w:val="45"/>
  </w:num>
  <w:num w:numId="43" w16cid:durableId="2097509613">
    <w:abstractNumId w:val="3"/>
  </w:num>
  <w:num w:numId="44" w16cid:durableId="951860021">
    <w:abstractNumId w:val="26"/>
  </w:num>
  <w:num w:numId="45" w16cid:durableId="1353385767">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42411214">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164817">
    <w:abstractNumId w:val="31"/>
  </w:num>
  <w:num w:numId="48" w16cid:durableId="939996643">
    <w:abstractNumId w:val="31"/>
  </w:num>
  <w:num w:numId="49" w16cid:durableId="1948005793">
    <w:abstractNumId w:val="31"/>
    <w:lvlOverride w:ilvl="0">
      <w:startOverride w:val="1"/>
    </w:lvlOverride>
  </w:num>
  <w:num w:numId="50" w16cid:durableId="424805931">
    <w:abstractNumId w:val="31"/>
  </w:num>
  <w:num w:numId="51" w16cid:durableId="1574510768">
    <w:abstractNumId w:val="13"/>
  </w:num>
  <w:num w:numId="52" w16cid:durableId="11360260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134747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3894186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4000144">
    <w:abstractNumId w:val="37"/>
    <w:lvlOverride w:ilvl="0">
      <w:startOverride w:val="1"/>
    </w:lvlOverride>
  </w:num>
  <w:num w:numId="56" w16cid:durableId="279265618">
    <w:abstractNumId w:val="37"/>
  </w:num>
  <w:num w:numId="57" w16cid:durableId="1902860211">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895700857">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71327245">
    <w:abstractNumId w:val="31"/>
  </w:num>
  <w:num w:numId="60" w16cid:durableId="1446928603">
    <w:abstractNumId w:val="31"/>
  </w:num>
  <w:num w:numId="61" w16cid:durableId="203443934">
    <w:abstractNumId w:val="31"/>
  </w:num>
  <w:num w:numId="62" w16cid:durableId="1949385698">
    <w:abstractNumId w:val="31"/>
  </w:num>
  <w:num w:numId="63" w16cid:durableId="1008098258">
    <w:abstractNumId w:val="37"/>
  </w:num>
  <w:num w:numId="64" w16cid:durableId="2126805969">
    <w:abstractNumId w:val="37"/>
  </w:num>
  <w:num w:numId="65" w16cid:durableId="2143689158">
    <w:abstractNumId w:val="37"/>
  </w:num>
  <w:num w:numId="66" w16cid:durableId="1290042926">
    <w:abstractNumId w:val="37"/>
  </w:num>
  <w:num w:numId="67" w16cid:durableId="2102332247">
    <w:abstractNumId w:val="37"/>
  </w:num>
  <w:num w:numId="68" w16cid:durableId="559707063">
    <w:abstractNumId w:val="8"/>
  </w:num>
  <w:num w:numId="69" w16cid:durableId="1668289705">
    <w:abstractNumId w:val="39"/>
  </w:num>
  <w:num w:numId="70" w16cid:durableId="506483757">
    <w:abstractNumId w:val="41"/>
  </w:num>
  <w:num w:numId="71" w16cid:durableId="168373246">
    <w:abstractNumId w:val="55"/>
  </w:num>
  <w:num w:numId="72" w16cid:durableId="1246837139">
    <w:abstractNumId w:val="37"/>
  </w:num>
  <w:num w:numId="73" w16cid:durableId="464279202">
    <w:abstractNumId w:val="37"/>
  </w:num>
  <w:num w:numId="74" w16cid:durableId="1325939170">
    <w:abstractNumId w:val="37"/>
  </w:num>
  <w:num w:numId="75" w16cid:durableId="832793713">
    <w:abstractNumId w:val="37"/>
  </w:num>
  <w:num w:numId="76" w16cid:durableId="1726177675">
    <w:abstractNumId w:val="37"/>
  </w:num>
  <w:num w:numId="77" w16cid:durableId="1680624160">
    <w:abstractNumId w:val="37"/>
  </w:num>
  <w:num w:numId="78" w16cid:durableId="332876655">
    <w:abstractNumId w:val="37"/>
  </w:num>
  <w:num w:numId="79" w16cid:durableId="2035618113">
    <w:abstractNumId w:val="37"/>
  </w:num>
  <w:num w:numId="80" w16cid:durableId="1250844995">
    <w:abstractNumId w:val="37"/>
  </w:num>
  <w:num w:numId="81" w16cid:durableId="396322483">
    <w:abstractNumId w:val="37"/>
  </w:num>
  <w:num w:numId="82" w16cid:durableId="473914193">
    <w:abstractNumId w:val="37"/>
  </w:num>
  <w:num w:numId="83" w16cid:durableId="1448158829">
    <w:abstractNumId w:val="55"/>
  </w:num>
  <w:num w:numId="84" w16cid:durableId="283004412">
    <w:abstractNumId w:val="55"/>
  </w:num>
  <w:num w:numId="85" w16cid:durableId="1257903531">
    <w:abstractNumId w:val="36"/>
  </w:num>
  <w:num w:numId="86" w16cid:durableId="345517598">
    <w:abstractNumId w:val="55"/>
  </w:num>
  <w:num w:numId="87" w16cid:durableId="20104051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674916183">
    <w:abstractNumId w:val="6"/>
  </w:num>
  <w:num w:numId="89" w16cid:durableId="1539271592">
    <w:abstractNumId w:val="48"/>
  </w:num>
  <w:num w:numId="90" w16cid:durableId="1372992230">
    <w:abstractNumId w:val="6"/>
  </w:num>
  <w:num w:numId="91" w16cid:durableId="332877739">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756708965">
    <w:abstractNumId w:val="6"/>
  </w:num>
  <w:num w:numId="93" w16cid:durableId="293561255">
    <w:abstractNumId w:val="13"/>
  </w:num>
  <w:num w:numId="94" w16cid:durableId="652684207">
    <w:abstractNumId w:val="6"/>
  </w:num>
  <w:num w:numId="95" w16cid:durableId="1057163162">
    <w:abstractNumId w:val="55"/>
  </w:num>
  <w:num w:numId="96" w16cid:durableId="2125490095">
    <w:abstractNumId w:val="57"/>
  </w:num>
  <w:num w:numId="97" w16cid:durableId="1301153692">
    <w:abstractNumId w:val="53"/>
  </w:num>
  <w:num w:numId="98" w16cid:durableId="510024762">
    <w:abstractNumId w:val="34"/>
  </w:num>
  <w:num w:numId="99" w16cid:durableId="1090738216">
    <w:abstractNumId w:val="55"/>
  </w:num>
  <w:num w:numId="100" w16cid:durableId="1603490672">
    <w:abstractNumId w:val="27"/>
  </w:num>
  <w:num w:numId="101" w16cid:durableId="1001857422">
    <w:abstractNumId w:val="6"/>
  </w:num>
  <w:num w:numId="102" w16cid:durableId="2034072090">
    <w:abstractNumId w:val="4"/>
  </w:num>
  <w:num w:numId="103" w16cid:durableId="904800978">
    <w:abstractNumId w:val="5"/>
  </w:num>
  <w:num w:numId="104" w16cid:durableId="1012341437">
    <w:abstractNumId w:val="5"/>
  </w:num>
  <w:num w:numId="105" w16cid:durableId="969364219">
    <w:abstractNumId w:val="50"/>
  </w:num>
  <w:num w:numId="106" w16cid:durableId="1634946970">
    <w:abstractNumId w:val="11"/>
  </w:num>
  <w:num w:numId="107" w16cid:durableId="1888562325">
    <w:abstractNumId w:val="54"/>
  </w:num>
  <w:num w:numId="108" w16cid:durableId="823623166">
    <w:abstractNumId w:val="50"/>
    <w:lvlOverride w:ilvl="0">
      <w:startOverride w:val="1"/>
    </w:lvlOverride>
    <w:lvlOverride w:ilvl="1"/>
    <w:lvlOverride w:ilvl="2"/>
    <w:lvlOverride w:ilvl="3"/>
    <w:lvlOverride w:ilvl="4"/>
    <w:lvlOverride w:ilvl="5"/>
    <w:lvlOverride w:ilvl="6"/>
    <w:lvlOverride w:ilvl="7"/>
    <w:lvlOverride w:ilvl="8"/>
  </w:num>
  <w:num w:numId="109" w16cid:durableId="1242518799">
    <w:abstractNumId w:val="55"/>
  </w:num>
  <w:num w:numId="110" w16cid:durableId="1244798123">
    <w:abstractNumId w:val="55"/>
  </w:num>
  <w:num w:numId="111" w16cid:durableId="528640441">
    <w:abstractNumId w:val="55"/>
  </w:num>
  <w:num w:numId="112" w16cid:durableId="1848136712">
    <w:abstractNumId w:val="50"/>
    <w:lvlOverride w:ilvl="0">
      <w:startOverride w:val="1"/>
    </w:lvlOverride>
    <w:lvlOverride w:ilvl="1"/>
    <w:lvlOverride w:ilvl="2"/>
    <w:lvlOverride w:ilvl="3"/>
    <w:lvlOverride w:ilvl="4"/>
    <w:lvlOverride w:ilvl="5"/>
    <w:lvlOverride w:ilvl="6"/>
    <w:lvlOverride w:ilvl="7"/>
    <w:lvlOverride w:ilvl="8"/>
  </w:num>
  <w:num w:numId="113" w16cid:durableId="1392075907">
    <w:abstractNumId w:val="40"/>
  </w:num>
  <w:num w:numId="114" w16cid:durableId="666790167">
    <w:abstractNumId w:val="6"/>
  </w:num>
  <w:num w:numId="115" w16cid:durableId="290014697">
    <w:abstractNumId w:val="5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3AC8"/>
    <w:rsid w:val="00015D15"/>
    <w:rsid w:val="00016B28"/>
    <w:rsid w:val="0002564D"/>
    <w:rsid w:val="00025ECA"/>
    <w:rsid w:val="00026E06"/>
    <w:rsid w:val="000325B8"/>
    <w:rsid w:val="00032DDF"/>
    <w:rsid w:val="0003356D"/>
    <w:rsid w:val="00034C15"/>
    <w:rsid w:val="00036BA1"/>
    <w:rsid w:val="000419AF"/>
    <w:rsid w:val="000422E2"/>
    <w:rsid w:val="00042F22"/>
    <w:rsid w:val="000444EF"/>
    <w:rsid w:val="00046F89"/>
    <w:rsid w:val="0005261A"/>
    <w:rsid w:val="00052A07"/>
    <w:rsid w:val="000534E3"/>
    <w:rsid w:val="0005606A"/>
    <w:rsid w:val="00057117"/>
    <w:rsid w:val="00057F1A"/>
    <w:rsid w:val="000616E7"/>
    <w:rsid w:val="0006487E"/>
    <w:rsid w:val="00065E1A"/>
    <w:rsid w:val="000664DB"/>
    <w:rsid w:val="0007069F"/>
    <w:rsid w:val="00070A6C"/>
    <w:rsid w:val="000719D8"/>
    <w:rsid w:val="00075D44"/>
    <w:rsid w:val="00077E5F"/>
    <w:rsid w:val="0008036A"/>
    <w:rsid w:val="00081AE6"/>
    <w:rsid w:val="000855EB"/>
    <w:rsid w:val="00085B52"/>
    <w:rsid w:val="00086512"/>
    <w:rsid w:val="000866F2"/>
    <w:rsid w:val="0009009F"/>
    <w:rsid w:val="000909E4"/>
    <w:rsid w:val="00091557"/>
    <w:rsid w:val="000924C1"/>
    <w:rsid w:val="000924F0"/>
    <w:rsid w:val="00093474"/>
    <w:rsid w:val="0009510F"/>
    <w:rsid w:val="000A1B7B"/>
    <w:rsid w:val="000A56F2"/>
    <w:rsid w:val="000A7733"/>
    <w:rsid w:val="000B2719"/>
    <w:rsid w:val="000B2AD1"/>
    <w:rsid w:val="000B3A8F"/>
    <w:rsid w:val="000B481C"/>
    <w:rsid w:val="000B4AB9"/>
    <w:rsid w:val="000B5740"/>
    <w:rsid w:val="000B58C3"/>
    <w:rsid w:val="000B61E9"/>
    <w:rsid w:val="000C165A"/>
    <w:rsid w:val="000C2B16"/>
    <w:rsid w:val="000C2E19"/>
    <w:rsid w:val="000C3312"/>
    <w:rsid w:val="000C467B"/>
    <w:rsid w:val="000D0D07"/>
    <w:rsid w:val="000D3AB1"/>
    <w:rsid w:val="000D4797"/>
    <w:rsid w:val="000D719F"/>
    <w:rsid w:val="000E0527"/>
    <w:rsid w:val="000E1E92"/>
    <w:rsid w:val="000E3579"/>
    <w:rsid w:val="000E7565"/>
    <w:rsid w:val="000E7C79"/>
    <w:rsid w:val="000F06D6"/>
    <w:rsid w:val="000F0EB1"/>
    <w:rsid w:val="000F1106"/>
    <w:rsid w:val="000F33F1"/>
    <w:rsid w:val="000F3BE9"/>
    <w:rsid w:val="000F3F6C"/>
    <w:rsid w:val="000F5742"/>
    <w:rsid w:val="000F6DF3"/>
    <w:rsid w:val="001005FF"/>
    <w:rsid w:val="001030F1"/>
    <w:rsid w:val="001061AA"/>
    <w:rsid w:val="001062FB"/>
    <w:rsid w:val="001063E6"/>
    <w:rsid w:val="001069D1"/>
    <w:rsid w:val="001111F7"/>
    <w:rsid w:val="001124B7"/>
    <w:rsid w:val="00113CF4"/>
    <w:rsid w:val="001153EA"/>
    <w:rsid w:val="00115643"/>
    <w:rsid w:val="00116219"/>
    <w:rsid w:val="00116765"/>
    <w:rsid w:val="0011744E"/>
    <w:rsid w:val="001177BE"/>
    <w:rsid w:val="00120B7F"/>
    <w:rsid w:val="001219F5"/>
    <w:rsid w:val="00121A20"/>
    <w:rsid w:val="0012377F"/>
    <w:rsid w:val="00124314"/>
    <w:rsid w:val="00125664"/>
    <w:rsid w:val="0012686B"/>
    <w:rsid w:val="00126B4A"/>
    <w:rsid w:val="00126D2C"/>
    <w:rsid w:val="001300A3"/>
    <w:rsid w:val="00132655"/>
    <w:rsid w:val="00132FD0"/>
    <w:rsid w:val="001344C0"/>
    <w:rsid w:val="001346FA"/>
    <w:rsid w:val="00135252"/>
    <w:rsid w:val="00135DCB"/>
    <w:rsid w:val="00136609"/>
    <w:rsid w:val="00137AB5"/>
    <w:rsid w:val="00137F0B"/>
    <w:rsid w:val="0014275E"/>
    <w:rsid w:val="00143A10"/>
    <w:rsid w:val="00144E71"/>
    <w:rsid w:val="00146CDC"/>
    <w:rsid w:val="00146F93"/>
    <w:rsid w:val="00151E23"/>
    <w:rsid w:val="001526E0"/>
    <w:rsid w:val="001540E1"/>
    <w:rsid w:val="001551B5"/>
    <w:rsid w:val="00164F1A"/>
    <w:rsid w:val="001659C1"/>
    <w:rsid w:val="00170B7B"/>
    <w:rsid w:val="00173A8E"/>
    <w:rsid w:val="00173F6A"/>
    <w:rsid w:val="0017502C"/>
    <w:rsid w:val="00181096"/>
    <w:rsid w:val="00181432"/>
    <w:rsid w:val="0018143F"/>
    <w:rsid w:val="00181FF8"/>
    <w:rsid w:val="00182220"/>
    <w:rsid w:val="001855BC"/>
    <w:rsid w:val="00190051"/>
    <w:rsid w:val="00190AC1"/>
    <w:rsid w:val="00191126"/>
    <w:rsid w:val="0019341A"/>
    <w:rsid w:val="00194405"/>
    <w:rsid w:val="00197DF9"/>
    <w:rsid w:val="001A1987"/>
    <w:rsid w:val="001A2564"/>
    <w:rsid w:val="001A397D"/>
    <w:rsid w:val="001A6173"/>
    <w:rsid w:val="001A6CBA"/>
    <w:rsid w:val="001B0D97"/>
    <w:rsid w:val="001B5812"/>
    <w:rsid w:val="001B5A5D"/>
    <w:rsid w:val="001B6830"/>
    <w:rsid w:val="001C1615"/>
    <w:rsid w:val="001C1CE5"/>
    <w:rsid w:val="001C3D2A"/>
    <w:rsid w:val="001C53D2"/>
    <w:rsid w:val="001C7BF4"/>
    <w:rsid w:val="001D48A3"/>
    <w:rsid w:val="001D51BA"/>
    <w:rsid w:val="001D53E7"/>
    <w:rsid w:val="001D6342"/>
    <w:rsid w:val="001D6D53"/>
    <w:rsid w:val="001E5207"/>
    <w:rsid w:val="001E5677"/>
    <w:rsid w:val="001E58E2"/>
    <w:rsid w:val="001E7AED"/>
    <w:rsid w:val="001F3916"/>
    <w:rsid w:val="001F54C5"/>
    <w:rsid w:val="001F662C"/>
    <w:rsid w:val="001F7074"/>
    <w:rsid w:val="00200490"/>
    <w:rsid w:val="00201F3A"/>
    <w:rsid w:val="00203F96"/>
    <w:rsid w:val="00204139"/>
    <w:rsid w:val="002069B2"/>
    <w:rsid w:val="00207FA3"/>
    <w:rsid w:val="00214DA8"/>
    <w:rsid w:val="00215423"/>
    <w:rsid w:val="002158FA"/>
    <w:rsid w:val="00220600"/>
    <w:rsid w:val="002221F4"/>
    <w:rsid w:val="00222425"/>
    <w:rsid w:val="002224DB"/>
    <w:rsid w:val="00223FCB"/>
    <w:rsid w:val="00224619"/>
    <w:rsid w:val="002252C3"/>
    <w:rsid w:val="00225C54"/>
    <w:rsid w:val="00225E39"/>
    <w:rsid w:val="00230765"/>
    <w:rsid w:val="00230D18"/>
    <w:rsid w:val="002319E4"/>
    <w:rsid w:val="0023495D"/>
    <w:rsid w:val="00235632"/>
    <w:rsid w:val="00235872"/>
    <w:rsid w:val="00241559"/>
    <w:rsid w:val="0024285E"/>
    <w:rsid w:val="002435B3"/>
    <w:rsid w:val="002458EB"/>
    <w:rsid w:val="00246A36"/>
    <w:rsid w:val="00247873"/>
    <w:rsid w:val="002500C8"/>
    <w:rsid w:val="00253365"/>
    <w:rsid w:val="00257543"/>
    <w:rsid w:val="002617E7"/>
    <w:rsid w:val="00261CBA"/>
    <w:rsid w:val="00263379"/>
    <w:rsid w:val="00264228"/>
    <w:rsid w:val="00264334"/>
    <w:rsid w:val="0026473E"/>
    <w:rsid w:val="00266214"/>
    <w:rsid w:val="00267C83"/>
    <w:rsid w:val="0027144F"/>
    <w:rsid w:val="00271813"/>
    <w:rsid w:val="00271F3A"/>
    <w:rsid w:val="00272975"/>
    <w:rsid w:val="00273278"/>
    <w:rsid w:val="002737F4"/>
    <w:rsid w:val="00277487"/>
    <w:rsid w:val="002805F5"/>
    <w:rsid w:val="00280751"/>
    <w:rsid w:val="00280BC5"/>
    <w:rsid w:val="0028280A"/>
    <w:rsid w:val="002837B1"/>
    <w:rsid w:val="00283DB1"/>
    <w:rsid w:val="00286ACD"/>
    <w:rsid w:val="00287838"/>
    <w:rsid w:val="002907B5"/>
    <w:rsid w:val="00292EB7"/>
    <w:rsid w:val="00296227"/>
    <w:rsid w:val="00296F44"/>
    <w:rsid w:val="0029777D"/>
    <w:rsid w:val="002A055E"/>
    <w:rsid w:val="002A1D4E"/>
    <w:rsid w:val="002A2869"/>
    <w:rsid w:val="002A4744"/>
    <w:rsid w:val="002B24D6"/>
    <w:rsid w:val="002B4722"/>
    <w:rsid w:val="002C3792"/>
    <w:rsid w:val="002C41E6"/>
    <w:rsid w:val="002C7ACC"/>
    <w:rsid w:val="002D071A"/>
    <w:rsid w:val="002D2229"/>
    <w:rsid w:val="002D34B2"/>
    <w:rsid w:val="002D3D9B"/>
    <w:rsid w:val="002D48B0"/>
    <w:rsid w:val="002D5B37"/>
    <w:rsid w:val="002D7637"/>
    <w:rsid w:val="002E17F2"/>
    <w:rsid w:val="002E7CAE"/>
    <w:rsid w:val="002E7DC8"/>
    <w:rsid w:val="002F2771"/>
    <w:rsid w:val="002F37A9"/>
    <w:rsid w:val="002F515C"/>
    <w:rsid w:val="00301CE6"/>
    <w:rsid w:val="0030224D"/>
    <w:rsid w:val="0030256B"/>
    <w:rsid w:val="00303D57"/>
    <w:rsid w:val="0030448F"/>
    <w:rsid w:val="0030501F"/>
    <w:rsid w:val="00307BA1"/>
    <w:rsid w:val="00311702"/>
    <w:rsid w:val="00311E82"/>
    <w:rsid w:val="00313FD6"/>
    <w:rsid w:val="00314034"/>
    <w:rsid w:val="003143BD"/>
    <w:rsid w:val="00315363"/>
    <w:rsid w:val="00317785"/>
    <w:rsid w:val="003203ED"/>
    <w:rsid w:val="003210D6"/>
    <w:rsid w:val="00322C9F"/>
    <w:rsid w:val="003233AD"/>
    <w:rsid w:val="00324D23"/>
    <w:rsid w:val="00326A43"/>
    <w:rsid w:val="00326C0C"/>
    <w:rsid w:val="00331751"/>
    <w:rsid w:val="00334579"/>
    <w:rsid w:val="00335858"/>
    <w:rsid w:val="00336BDA"/>
    <w:rsid w:val="003423BA"/>
    <w:rsid w:val="00342BD7"/>
    <w:rsid w:val="00343A15"/>
    <w:rsid w:val="00346DB5"/>
    <w:rsid w:val="003477B1"/>
    <w:rsid w:val="003501D2"/>
    <w:rsid w:val="00350C83"/>
    <w:rsid w:val="00352821"/>
    <w:rsid w:val="00352AF4"/>
    <w:rsid w:val="00353A83"/>
    <w:rsid w:val="00353E35"/>
    <w:rsid w:val="003563EC"/>
    <w:rsid w:val="0035662A"/>
    <w:rsid w:val="00357380"/>
    <w:rsid w:val="003602D9"/>
    <w:rsid w:val="003604CE"/>
    <w:rsid w:val="003609FC"/>
    <w:rsid w:val="00363DC4"/>
    <w:rsid w:val="00363F9E"/>
    <w:rsid w:val="00364558"/>
    <w:rsid w:val="00367BFA"/>
    <w:rsid w:val="00370E47"/>
    <w:rsid w:val="00372B39"/>
    <w:rsid w:val="003742AC"/>
    <w:rsid w:val="003750CB"/>
    <w:rsid w:val="00377CE1"/>
    <w:rsid w:val="00385BF0"/>
    <w:rsid w:val="00390978"/>
    <w:rsid w:val="003939FF"/>
    <w:rsid w:val="00393FEC"/>
    <w:rsid w:val="00395E16"/>
    <w:rsid w:val="003A0B18"/>
    <w:rsid w:val="003A2223"/>
    <w:rsid w:val="003A2A0F"/>
    <w:rsid w:val="003A45A1"/>
    <w:rsid w:val="003A5B0A"/>
    <w:rsid w:val="003A5BC7"/>
    <w:rsid w:val="003A6BAC"/>
    <w:rsid w:val="003A70A4"/>
    <w:rsid w:val="003A7EF3"/>
    <w:rsid w:val="003B159C"/>
    <w:rsid w:val="003B369F"/>
    <w:rsid w:val="003B36A3"/>
    <w:rsid w:val="003B419A"/>
    <w:rsid w:val="003B64BB"/>
    <w:rsid w:val="003B6C73"/>
    <w:rsid w:val="003B7B8E"/>
    <w:rsid w:val="003B7FE5"/>
    <w:rsid w:val="003C06E7"/>
    <w:rsid w:val="003C11C8"/>
    <w:rsid w:val="003C2702"/>
    <w:rsid w:val="003C7806"/>
    <w:rsid w:val="003D109F"/>
    <w:rsid w:val="003D2478"/>
    <w:rsid w:val="003D2A1A"/>
    <w:rsid w:val="003D308F"/>
    <w:rsid w:val="003D3C45"/>
    <w:rsid w:val="003D5123"/>
    <w:rsid w:val="003D5B1F"/>
    <w:rsid w:val="003E1503"/>
    <w:rsid w:val="003E15FA"/>
    <w:rsid w:val="003E519F"/>
    <w:rsid w:val="003E55E4"/>
    <w:rsid w:val="003E6836"/>
    <w:rsid w:val="003E6B15"/>
    <w:rsid w:val="003E74E3"/>
    <w:rsid w:val="003F05C7"/>
    <w:rsid w:val="003F2CD4"/>
    <w:rsid w:val="003F408E"/>
    <w:rsid w:val="003F4AED"/>
    <w:rsid w:val="003F6BBE"/>
    <w:rsid w:val="003F7907"/>
    <w:rsid w:val="004000E8"/>
    <w:rsid w:val="00402E2B"/>
    <w:rsid w:val="0040512B"/>
    <w:rsid w:val="004056AA"/>
    <w:rsid w:val="00405CA5"/>
    <w:rsid w:val="00407B3F"/>
    <w:rsid w:val="00407CD3"/>
    <w:rsid w:val="00407F7B"/>
    <w:rsid w:val="00410134"/>
    <w:rsid w:val="00410B72"/>
    <w:rsid w:val="00410F18"/>
    <w:rsid w:val="00410F48"/>
    <w:rsid w:val="0041263E"/>
    <w:rsid w:val="00413AAC"/>
    <w:rsid w:val="00413E92"/>
    <w:rsid w:val="0041532D"/>
    <w:rsid w:val="004158DF"/>
    <w:rsid w:val="00421105"/>
    <w:rsid w:val="00422AA4"/>
    <w:rsid w:val="004234F9"/>
    <w:rsid w:val="004242F4"/>
    <w:rsid w:val="00427174"/>
    <w:rsid w:val="00427248"/>
    <w:rsid w:val="00437447"/>
    <w:rsid w:val="00441A92"/>
    <w:rsid w:val="0044203D"/>
    <w:rsid w:val="004431DC"/>
    <w:rsid w:val="0044436A"/>
    <w:rsid w:val="00444785"/>
    <w:rsid w:val="00444F56"/>
    <w:rsid w:val="00446488"/>
    <w:rsid w:val="00446C96"/>
    <w:rsid w:val="004517AA"/>
    <w:rsid w:val="00452CAC"/>
    <w:rsid w:val="00454A80"/>
    <w:rsid w:val="00457565"/>
    <w:rsid w:val="00457B71"/>
    <w:rsid w:val="004669E2"/>
    <w:rsid w:val="00470C31"/>
    <w:rsid w:val="00471DE0"/>
    <w:rsid w:val="004734D0"/>
    <w:rsid w:val="004737D3"/>
    <w:rsid w:val="0047556B"/>
    <w:rsid w:val="004764BD"/>
    <w:rsid w:val="00476619"/>
    <w:rsid w:val="00477768"/>
    <w:rsid w:val="00483FA9"/>
    <w:rsid w:val="00492BC5"/>
    <w:rsid w:val="00494192"/>
    <w:rsid w:val="004964F1"/>
    <w:rsid w:val="00496CBB"/>
    <w:rsid w:val="004972B8"/>
    <w:rsid w:val="004A16BC"/>
    <w:rsid w:val="004A27E2"/>
    <w:rsid w:val="004A2B94"/>
    <w:rsid w:val="004A6E83"/>
    <w:rsid w:val="004B369C"/>
    <w:rsid w:val="004B6F6A"/>
    <w:rsid w:val="004B7C0C"/>
    <w:rsid w:val="004C118F"/>
    <w:rsid w:val="004C1E6F"/>
    <w:rsid w:val="004C3898"/>
    <w:rsid w:val="004C3F4E"/>
    <w:rsid w:val="004C6402"/>
    <w:rsid w:val="004D36B1"/>
    <w:rsid w:val="004D40A9"/>
    <w:rsid w:val="004D7EBD"/>
    <w:rsid w:val="004E0961"/>
    <w:rsid w:val="004E2680"/>
    <w:rsid w:val="004E28F9"/>
    <w:rsid w:val="004E462E"/>
    <w:rsid w:val="004E53EA"/>
    <w:rsid w:val="004E56DC"/>
    <w:rsid w:val="004E76F4"/>
    <w:rsid w:val="004F08EE"/>
    <w:rsid w:val="004F0B4E"/>
    <w:rsid w:val="004F0B6C"/>
    <w:rsid w:val="004F2078"/>
    <w:rsid w:val="004F2446"/>
    <w:rsid w:val="004F46CF"/>
    <w:rsid w:val="004F4DA3"/>
    <w:rsid w:val="004F510D"/>
    <w:rsid w:val="004F7C25"/>
    <w:rsid w:val="00506557"/>
    <w:rsid w:val="0050677A"/>
    <w:rsid w:val="005108D8"/>
    <w:rsid w:val="005116F9"/>
    <w:rsid w:val="0051470F"/>
    <w:rsid w:val="005153A7"/>
    <w:rsid w:val="00515D33"/>
    <w:rsid w:val="00516B29"/>
    <w:rsid w:val="005219CF"/>
    <w:rsid w:val="005224AD"/>
    <w:rsid w:val="0052513D"/>
    <w:rsid w:val="00527BD0"/>
    <w:rsid w:val="005326CB"/>
    <w:rsid w:val="00534B59"/>
    <w:rsid w:val="005362AD"/>
    <w:rsid w:val="00536759"/>
    <w:rsid w:val="00537C62"/>
    <w:rsid w:val="0054123E"/>
    <w:rsid w:val="00541D36"/>
    <w:rsid w:val="005439FA"/>
    <w:rsid w:val="00546970"/>
    <w:rsid w:val="00554E19"/>
    <w:rsid w:val="0056121F"/>
    <w:rsid w:val="00571000"/>
    <w:rsid w:val="00572505"/>
    <w:rsid w:val="00575410"/>
    <w:rsid w:val="00577948"/>
    <w:rsid w:val="00582809"/>
    <w:rsid w:val="00583B54"/>
    <w:rsid w:val="0058798C"/>
    <w:rsid w:val="005900FA"/>
    <w:rsid w:val="00592525"/>
    <w:rsid w:val="005935A4"/>
    <w:rsid w:val="005948C2"/>
    <w:rsid w:val="00595DCA"/>
    <w:rsid w:val="0059779B"/>
    <w:rsid w:val="005A209A"/>
    <w:rsid w:val="005A6010"/>
    <w:rsid w:val="005A662D"/>
    <w:rsid w:val="005A75F7"/>
    <w:rsid w:val="005B1409"/>
    <w:rsid w:val="005B35D7"/>
    <w:rsid w:val="005B392A"/>
    <w:rsid w:val="005B3AA3"/>
    <w:rsid w:val="005B6F83"/>
    <w:rsid w:val="005C0EF3"/>
    <w:rsid w:val="005C1562"/>
    <w:rsid w:val="005C538D"/>
    <w:rsid w:val="005C74FB"/>
    <w:rsid w:val="005D1602"/>
    <w:rsid w:val="005D51AB"/>
    <w:rsid w:val="005D7056"/>
    <w:rsid w:val="005E0972"/>
    <w:rsid w:val="005E385F"/>
    <w:rsid w:val="005E5B81"/>
    <w:rsid w:val="005F2CB1"/>
    <w:rsid w:val="005F3025"/>
    <w:rsid w:val="005F618C"/>
    <w:rsid w:val="005F70BD"/>
    <w:rsid w:val="0060035A"/>
    <w:rsid w:val="0060283C"/>
    <w:rsid w:val="0060320F"/>
    <w:rsid w:val="00604749"/>
    <w:rsid w:val="00604F14"/>
    <w:rsid w:val="00606498"/>
    <w:rsid w:val="00610889"/>
    <w:rsid w:val="00611B83"/>
    <w:rsid w:val="00613257"/>
    <w:rsid w:val="006167F3"/>
    <w:rsid w:val="00620A71"/>
    <w:rsid w:val="00620D80"/>
    <w:rsid w:val="006234A6"/>
    <w:rsid w:val="00623746"/>
    <w:rsid w:val="006255E7"/>
    <w:rsid w:val="00626F72"/>
    <w:rsid w:val="00630001"/>
    <w:rsid w:val="006311B3"/>
    <w:rsid w:val="0063284C"/>
    <w:rsid w:val="00634D79"/>
    <w:rsid w:val="00636398"/>
    <w:rsid w:val="006368D3"/>
    <w:rsid w:val="006377EC"/>
    <w:rsid w:val="0064151F"/>
    <w:rsid w:val="00641533"/>
    <w:rsid w:val="0064208D"/>
    <w:rsid w:val="00642912"/>
    <w:rsid w:val="00643475"/>
    <w:rsid w:val="006437D5"/>
    <w:rsid w:val="0064396A"/>
    <w:rsid w:val="00645D63"/>
    <w:rsid w:val="0064624E"/>
    <w:rsid w:val="0064665F"/>
    <w:rsid w:val="00650AB9"/>
    <w:rsid w:val="006537BE"/>
    <w:rsid w:val="00655733"/>
    <w:rsid w:val="00655ACD"/>
    <w:rsid w:val="00656A92"/>
    <w:rsid w:val="00656DDE"/>
    <w:rsid w:val="0066011D"/>
    <w:rsid w:val="006607C0"/>
    <w:rsid w:val="006613A6"/>
    <w:rsid w:val="006627A2"/>
    <w:rsid w:val="006634E6"/>
    <w:rsid w:val="006642C4"/>
    <w:rsid w:val="006655EE"/>
    <w:rsid w:val="00667EE7"/>
    <w:rsid w:val="00670922"/>
    <w:rsid w:val="00670BE1"/>
    <w:rsid w:val="00671CAD"/>
    <w:rsid w:val="00671D22"/>
    <w:rsid w:val="0067218F"/>
    <w:rsid w:val="00673D86"/>
    <w:rsid w:val="006741F2"/>
    <w:rsid w:val="00674CC3"/>
    <w:rsid w:val="00675C72"/>
    <w:rsid w:val="006771F9"/>
    <w:rsid w:val="006776D7"/>
    <w:rsid w:val="00681003"/>
    <w:rsid w:val="006817C9"/>
    <w:rsid w:val="00683ECE"/>
    <w:rsid w:val="00686F39"/>
    <w:rsid w:val="00687288"/>
    <w:rsid w:val="00692F18"/>
    <w:rsid w:val="00694A8F"/>
    <w:rsid w:val="00695963"/>
    <w:rsid w:val="00695FC2"/>
    <w:rsid w:val="00696949"/>
    <w:rsid w:val="00697052"/>
    <w:rsid w:val="0069749B"/>
    <w:rsid w:val="006A1285"/>
    <w:rsid w:val="006A46FB"/>
    <w:rsid w:val="006A5E28"/>
    <w:rsid w:val="006A697B"/>
    <w:rsid w:val="006A7AFF"/>
    <w:rsid w:val="006B1816"/>
    <w:rsid w:val="006B2099"/>
    <w:rsid w:val="006B217F"/>
    <w:rsid w:val="006B50CF"/>
    <w:rsid w:val="006C03B8"/>
    <w:rsid w:val="006C1035"/>
    <w:rsid w:val="006C2277"/>
    <w:rsid w:val="006C431B"/>
    <w:rsid w:val="006C5EC9"/>
    <w:rsid w:val="006C6059"/>
    <w:rsid w:val="006C7262"/>
    <w:rsid w:val="006C7522"/>
    <w:rsid w:val="006D3BA7"/>
    <w:rsid w:val="006D51E9"/>
    <w:rsid w:val="006D6B3C"/>
    <w:rsid w:val="006D6F08"/>
    <w:rsid w:val="006E062C"/>
    <w:rsid w:val="006E07CD"/>
    <w:rsid w:val="006E1C82"/>
    <w:rsid w:val="006E28B7"/>
    <w:rsid w:val="006E2A9B"/>
    <w:rsid w:val="006E3310"/>
    <w:rsid w:val="006E4E39"/>
    <w:rsid w:val="006E565E"/>
    <w:rsid w:val="006E673D"/>
    <w:rsid w:val="006E6B15"/>
    <w:rsid w:val="006E7D3B"/>
    <w:rsid w:val="006F1B70"/>
    <w:rsid w:val="006F341D"/>
    <w:rsid w:val="006F3CDE"/>
    <w:rsid w:val="006F3D97"/>
    <w:rsid w:val="006F4C49"/>
    <w:rsid w:val="006F58D4"/>
    <w:rsid w:val="006F6582"/>
    <w:rsid w:val="0070346E"/>
    <w:rsid w:val="00704501"/>
    <w:rsid w:val="00704EDB"/>
    <w:rsid w:val="00706101"/>
    <w:rsid w:val="00707072"/>
    <w:rsid w:val="00707D61"/>
    <w:rsid w:val="00707F18"/>
    <w:rsid w:val="00712287"/>
    <w:rsid w:val="007123E5"/>
    <w:rsid w:val="00712772"/>
    <w:rsid w:val="007148D3"/>
    <w:rsid w:val="00715B9A"/>
    <w:rsid w:val="00720999"/>
    <w:rsid w:val="00721CED"/>
    <w:rsid w:val="007226EC"/>
    <w:rsid w:val="00725112"/>
    <w:rsid w:val="007257D0"/>
    <w:rsid w:val="00726EA6"/>
    <w:rsid w:val="00727208"/>
    <w:rsid w:val="00727680"/>
    <w:rsid w:val="00731FA3"/>
    <w:rsid w:val="00734015"/>
    <w:rsid w:val="007348B1"/>
    <w:rsid w:val="007362A6"/>
    <w:rsid w:val="00736D7D"/>
    <w:rsid w:val="00740E58"/>
    <w:rsid w:val="007445A0"/>
    <w:rsid w:val="0074514E"/>
    <w:rsid w:val="0074524B"/>
    <w:rsid w:val="007466D7"/>
    <w:rsid w:val="00746902"/>
    <w:rsid w:val="00747D8B"/>
    <w:rsid w:val="00751228"/>
    <w:rsid w:val="007547CA"/>
    <w:rsid w:val="007553A6"/>
    <w:rsid w:val="007554A3"/>
    <w:rsid w:val="007571E1"/>
    <w:rsid w:val="007604B2"/>
    <w:rsid w:val="00761B33"/>
    <w:rsid w:val="00762940"/>
    <w:rsid w:val="00765281"/>
    <w:rsid w:val="00766BAD"/>
    <w:rsid w:val="007729A2"/>
    <w:rsid w:val="007755F2"/>
    <w:rsid w:val="00776971"/>
    <w:rsid w:val="00780A80"/>
    <w:rsid w:val="0078177E"/>
    <w:rsid w:val="0078304C"/>
    <w:rsid w:val="00783673"/>
    <w:rsid w:val="007842B3"/>
    <w:rsid w:val="007843D4"/>
    <w:rsid w:val="00785490"/>
    <w:rsid w:val="00785FB5"/>
    <w:rsid w:val="00786883"/>
    <w:rsid w:val="00787536"/>
    <w:rsid w:val="007902C2"/>
    <w:rsid w:val="007910D0"/>
    <w:rsid w:val="007925EA"/>
    <w:rsid w:val="00793CD8"/>
    <w:rsid w:val="00795C92"/>
    <w:rsid w:val="00796231"/>
    <w:rsid w:val="007A0AD3"/>
    <w:rsid w:val="007A1CB3"/>
    <w:rsid w:val="007A306F"/>
    <w:rsid w:val="007A3C19"/>
    <w:rsid w:val="007A43A6"/>
    <w:rsid w:val="007A58A6"/>
    <w:rsid w:val="007A6349"/>
    <w:rsid w:val="007B3D2D"/>
    <w:rsid w:val="007B50AE"/>
    <w:rsid w:val="007B51DF"/>
    <w:rsid w:val="007B5D5F"/>
    <w:rsid w:val="007B714B"/>
    <w:rsid w:val="007C05DD"/>
    <w:rsid w:val="007C1C6D"/>
    <w:rsid w:val="007C3D18"/>
    <w:rsid w:val="007C503B"/>
    <w:rsid w:val="007C60BF"/>
    <w:rsid w:val="007C6A07"/>
    <w:rsid w:val="007C7351"/>
    <w:rsid w:val="007C75A1"/>
    <w:rsid w:val="007C77A5"/>
    <w:rsid w:val="007D04E5"/>
    <w:rsid w:val="007D5652"/>
    <w:rsid w:val="007D5901"/>
    <w:rsid w:val="007D7526"/>
    <w:rsid w:val="007E4610"/>
    <w:rsid w:val="007E4715"/>
    <w:rsid w:val="007E4821"/>
    <w:rsid w:val="007E505B"/>
    <w:rsid w:val="007E7091"/>
    <w:rsid w:val="007E723E"/>
    <w:rsid w:val="007F2276"/>
    <w:rsid w:val="007F68A8"/>
    <w:rsid w:val="0080151B"/>
    <w:rsid w:val="00801DA8"/>
    <w:rsid w:val="00803DBC"/>
    <w:rsid w:val="00803FAE"/>
    <w:rsid w:val="008058F4"/>
    <w:rsid w:val="00805C7F"/>
    <w:rsid w:val="0080605F"/>
    <w:rsid w:val="00807786"/>
    <w:rsid w:val="00811FCB"/>
    <w:rsid w:val="0081578F"/>
    <w:rsid w:val="008158D6"/>
    <w:rsid w:val="00817196"/>
    <w:rsid w:val="0082257F"/>
    <w:rsid w:val="008235DB"/>
    <w:rsid w:val="00824AB4"/>
    <w:rsid w:val="00825A16"/>
    <w:rsid w:val="00825C42"/>
    <w:rsid w:val="00825D25"/>
    <w:rsid w:val="008278BA"/>
    <w:rsid w:val="00827D6F"/>
    <w:rsid w:val="00835FE0"/>
    <w:rsid w:val="00836D3B"/>
    <w:rsid w:val="008376AC"/>
    <w:rsid w:val="008444E8"/>
    <w:rsid w:val="00844E80"/>
    <w:rsid w:val="00846FE7"/>
    <w:rsid w:val="00847F06"/>
    <w:rsid w:val="00850D85"/>
    <w:rsid w:val="00854EFB"/>
    <w:rsid w:val="00856911"/>
    <w:rsid w:val="00857CEC"/>
    <w:rsid w:val="00862601"/>
    <w:rsid w:val="00863A63"/>
    <w:rsid w:val="008677FD"/>
    <w:rsid w:val="008706D4"/>
    <w:rsid w:val="00870F8A"/>
    <w:rsid w:val="008719A4"/>
    <w:rsid w:val="00871D23"/>
    <w:rsid w:val="00874312"/>
    <w:rsid w:val="0087437C"/>
    <w:rsid w:val="00875CD7"/>
    <w:rsid w:val="008769FE"/>
    <w:rsid w:val="00876B4D"/>
    <w:rsid w:val="00877F18"/>
    <w:rsid w:val="00880CCE"/>
    <w:rsid w:val="00883FF6"/>
    <w:rsid w:val="00884692"/>
    <w:rsid w:val="008858D9"/>
    <w:rsid w:val="00890A62"/>
    <w:rsid w:val="00891662"/>
    <w:rsid w:val="0089167F"/>
    <w:rsid w:val="008941E3"/>
    <w:rsid w:val="00894A88"/>
    <w:rsid w:val="00895386"/>
    <w:rsid w:val="0089587D"/>
    <w:rsid w:val="008A21FF"/>
    <w:rsid w:val="008A2CE2"/>
    <w:rsid w:val="008A30AC"/>
    <w:rsid w:val="008A44B8"/>
    <w:rsid w:val="008A466C"/>
    <w:rsid w:val="008A4EC4"/>
    <w:rsid w:val="008A51A8"/>
    <w:rsid w:val="008A54C7"/>
    <w:rsid w:val="008A77D8"/>
    <w:rsid w:val="008B0483"/>
    <w:rsid w:val="008B120C"/>
    <w:rsid w:val="008B51A0"/>
    <w:rsid w:val="008B592A"/>
    <w:rsid w:val="008B607A"/>
    <w:rsid w:val="008B7B5C"/>
    <w:rsid w:val="008C0C99"/>
    <w:rsid w:val="008C12CE"/>
    <w:rsid w:val="008C2017"/>
    <w:rsid w:val="008C2245"/>
    <w:rsid w:val="008C4958"/>
    <w:rsid w:val="008C4BAA"/>
    <w:rsid w:val="008C6AE8"/>
    <w:rsid w:val="008C7573"/>
    <w:rsid w:val="008D00A5"/>
    <w:rsid w:val="008D1FE4"/>
    <w:rsid w:val="008D2415"/>
    <w:rsid w:val="008D34F1"/>
    <w:rsid w:val="008D39D8"/>
    <w:rsid w:val="008D6D1A"/>
    <w:rsid w:val="008E065E"/>
    <w:rsid w:val="008E0927"/>
    <w:rsid w:val="008E1699"/>
    <w:rsid w:val="008E1909"/>
    <w:rsid w:val="008F1304"/>
    <w:rsid w:val="008F1EAB"/>
    <w:rsid w:val="008F25CB"/>
    <w:rsid w:val="008F33DC"/>
    <w:rsid w:val="008F477F"/>
    <w:rsid w:val="00902350"/>
    <w:rsid w:val="0090336B"/>
    <w:rsid w:val="00903AC1"/>
    <w:rsid w:val="009053AA"/>
    <w:rsid w:val="00906939"/>
    <w:rsid w:val="00906FF1"/>
    <w:rsid w:val="0091004E"/>
    <w:rsid w:val="00910B7D"/>
    <w:rsid w:val="00911A1C"/>
    <w:rsid w:val="00911DFB"/>
    <w:rsid w:val="00913722"/>
    <w:rsid w:val="0091392C"/>
    <w:rsid w:val="009139D9"/>
    <w:rsid w:val="00914AD8"/>
    <w:rsid w:val="00916079"/>
    <w:rsid w:val="009162C1"/>
    <w:rsid w:val="00917CE9"/>
    <w:rsid w:val="00920A2C"/>
    <w:rsid w:val="00920BF2"/>
    <w:rsid w:val="00922010"/>
    <w:rsid w:val="009245A5"/>
    <w:rsid w:val="00925ECE"/>
    <w:rsid w:val="009270A1"/>
    <w:rsid w:val="00931BD9"/>
    <w:rsid w:val="00933809"/>
    <w:rsid w:val="00936820"/>
    <w:rsid w:val="009368F3"/>
    <w:rsid w:val="0093787D"/>
    <w:rsid w:val="00941636"/>
    <w:rsid w:val="00943742"/>
    <w:rsid w:val="00945C05"/>
    <w:rsid w:val="0094659B"/>
    <w:rsid w:val="00946945"/>
    <w:rsid w:val="00946A4C"/>
    <w:rsid w:val="00947713"/>
    <w:rsid w:val="00950DE7"/>
    <w:rsid w:val="00953920"/>
    <w:rsid w:val="00953D47"/>
    <w:rsid w:val="00955B1C"/>
    <w:rsid w:val="0095681E"/>
    <w:rsid w:val="009572D4"/>
    <w:rsid w:val="00961921"/>
    <w:rsid w:val="009622C1"/>
    <w:rsid w:val="0096430A"/>
    <w:rsid w:val="0096554B"/>
    <w:rsid w:val="0096577E"/>
    <w:rsid w:val="0096584A"/>
    <w:rsid w:val="00965DE9"/>
    <w:rsid w:val="00970737"/>
    <w:rsid w:val="00971F08"/>
    <w:rsid w:val="0097603D"/>
    <w:rsid w:val="0097662B"/>
    <w:rsid w:val="00976949"/>
    <w:rsid w:val="00976C38"/>
    <w:rsid w:val="00980477"/>
    <w:rsid w:val="009826C7"/>
    <w:rsid w:val="00983108"/>
    <w:rsid w:val="00984B38"/>
    <w:rsid w:val="00985253"/>
    <w:rsid w:val="009853B3"/>
    <w:rsid w:val="009866E4"/>
    <w:rsid w:val="00987313"/>
    <w:rsid w:val="0098796D"/>
    <w:rsid w:val="00990630"/>
    <w:rsid w:val="00991761"/>
    <w:rsid w:val="00994D39"/>
    <w:rsid w:val="00994DCA"/>
    <w:rsid w:val="009960EC"/>
    <w:rsid w:val="00996E32"/>
    <w:rsid w:val="009970DD"/>
    <w:rsid w:val="009A0FBA"/>
    <w:rsid w:val="009A1601"/>
    <w:rsid w:val="009A3BB6"/>
    <w:rsid w:val="009A462D"/>
    <w:rsid w:val="009A5CBA"/>
    <w:rsid w:val="009B1F30"/>
    <w:rsid w:val="009B2C1B"/>
    <w:rsid w:val="009B3AC2"/>
    <w:rsid w:val="009B4DF4"/>
    <w:rsid w:val="009B564E"/>
    <w:rsid w:val="009B7E87"/>
    <w:rsid w:val="009C0169"/>
    <w:rsid w:val="009C0EE3"/>
    <w:rsid w:val="009C403E"/>
    <w:rsid w:val="009C6BBA"/>
    <w:rsid w:val="009D4FF0"/>
    <w:rsid w:val="009D703C"/>
    <w:rsid w:val="009D718F"/>
    <w:rsid w:val="009D7866"/>
    <w:rsid w:val="009E068F"/>
    <w:rsid w:val="009E1341"/>
    <w:rsid w:val="009E14E0"/>
    <w:rsid w:val="009E35DB"/>
    <w:rsid w:val="009E3D67"/>
    <w:rsid w:val="009E47A3"/>
    <w:rsid w:val="009F0157"/>
    <w:rsid w:val="009F08F3"/>
    <w:rsid w:val="009F13F9"/>
    <w:rsid w:val="009F344F"/>
    <w:rsid w:val="009F380A"/>
    <w:rsid w:val="00A00E99"/>
    <w:rsid w:val="00A031D8"/>
    <w:rsid w:val="00A048A8"/>
    <w:rsid w:val="00A04F49"/>
    <w:rsid w:val="00A13E54"/>
    <w:rsid w:val="00A14228"/>
    <w:rsid w:val="00A142AF"/>
    <w:rsid w:val="00A14E84"/>
    <w:rsid w:val="00A15781"/>
    <w:rsid w:val="00A17F63"/>
    <w:rsid w:val="00A2089F"/>
    <w:rsid w:val="00A2193B"/>
    <w:rsid w:val="00A2351A"/>
    <w:rsid w:val="00A2396A"/>
    <w:rsid w:val="00A239B5"/>
    <w:rsid w:val="00A264A9"/>
    <w:rsid w:val="00A26DCF"/>
    <w:rsid w:val="00A27785"/>
    <w:rsid w:val="00A30187"/>
    <w:rsid w:val="00A30416"/>
    <w:rsid w:val="00A3448A"/>
    <w:rsid w:val="00A36297"/>
    <w:rsid w:val="00A410AF"/>
    <w:rsid w:val="00A41E2B"/>
    <w:rsid w:val="00A43A53"/>
    <w:rsid w:val="00A45B74"/>
    <w:rsid w:val="00A52E1D"/>
    <w:rsid w:val="00A52F84"/>
    <w:rsid w:val="00A5576D"/>
    <w:rsid w:val="00A55BEF"/>
    <w:rsid w:val="00A55D00"/>
    <w:rsid w:val="00A61499"/>
    <w:rsid w:val="00A62A77"/>
    <w:rsid w:val="00A63483"/>
    <w:rsid w:val="00A657D7"/>
    <w:rsid w:val="00A660AC"/>
    <w:rsid w:val="00A67E6C"/>
    <w:rsid w:val="00A712AC"/>
    <w:rsid w:val="00A71B99"/>
    <w:rsid w:val="00A7364E"/>
    <w:rsid w:val="00A739D0"/>
    <w:rsid w:val="00A74BAE"/>
    <w:rsid w:val="00A761D4"/>
    <w:rsid w:val="00A77EC4"/>
    <w:rsid w:val="00A808CB"/>
    <w:rsid w:val="00A814A2"/>
    <w:rsid w:val="00A82A58"/>
    <w:rsid w:val="00A83C34"/>
    <w:rsid w:val="00A918C0"/>
    <w:rsid w:val="00A91B55"/>
    <w:rsid w:val="00A92879"/>
    <w:rsid w:val="00A9442A"/>
    <w:rsid w:val="00A96CFD"/>
    <w:rsid w:val="00AA016F"/>
    <w:rsid w:val="00AA1ED6"/>
    <w:rsid w:val="00AA23D9"/>
    <w:rsid w:val="00AA3B0B"/>
    <w:rsid w:val="00AA51D6"/>
    <w:rsid w:val="00AA5497"/>
    <w:rsid w:val="00AA66FA"/>
    <w:rsid w:val="00AA6D52"/>
    <w:rsid w:val="00AB0BC8"/>
    <w:rsid w:val="00AB11CA"/>
    <w:rsid w:val="00AB14D9"/>
    <w:rsid w:val="00AB288C"/>
    <w:rsid w:val="00AB4A97"/>
    <w:rsid w:val="00AB4AB8"/>
    <w:rsid w:val="00AB655E"/>
    <w:rsid w:val="00AB676B"/>
    <w:rsid w:val="00AC007F"/>
    <w:rsid w:val="00AC0F6A"/>
    <w:rsid w:val="00AC2ECD"/>
    <w:rsid w:val="00AC3119"/>
    <w:rsid w:val="00AC41EF"/>
    <w:rsid w:val="00AC49FB"/>
    <w:rsid w:val="00AC5A10"/>
    <w:rsid w:val="00AD0AA3"/>
    <w:rsid w:val="00AD3B2D"/>
    <w:rsid w:val="00AD3F94"/>
    <w:rsid w:val="00AD4A5A"/>
    <w:rsid w:val="00AD6B12"/>
    <w:rsid w:val="00AE27AC"/>
    <w:rsid w:val="00AE40E0"/>
    <w:rsid w:val="00AE4DBA"/>
    <w:rsid w:val="00AE4F07"/>
    <w:rsid w:val="00AE5E67"/>
    <w:rsid w:val="00AF1C5D"/>
    <w:rsid w:val="00AF1F1E"/>
    <w:rsid w:val="00AF2D99"/>
    <w:rsid w:val="00AF42D7"/>
    <w:rsid w:val="00B00439"/>
    <w:rsid w:val="00B006FE"/>
    <w:rsid w:val="00B007CB"/>
    <w:rsid w:val="00B02AA9"/>
    <w:rsid w:val="00B02FA3"/>
    <w:rsid w:val="00B05084"/>
    <w:rsid w:val="00B11A48"/>
    <w:rsid w:val="00B12F0B"/>
    <w:rsid w:val="00B13B65"/>
    <w:rsid w:val="00B145A2"/>
    <w:rsid w:val="00B151CF"/>
    <w:rsid w:val="00B157F9"/>
    <w:rsid w:val="00B160A3"/>
    <w:rsid w:val="00B20256"/>
    <w:rsid w:val="00B20D09"/>
    <w:rsid w:val="00B2339A"/>
    <w:rsid w:val="00B2763F"/>
    <w:rsid w:val="00B27AAC"/>
    <w:rsid w:val="00B30929"/>
    <w:rsid w:val="00B3477C"/>
    <w:rsid w:val="00B372AA"/>
    <w:rsid w:val="00B40445"/>
    <w:rsid w:val="00B409E0"/>
    <w:rsid w:val="00B41888"/>
    <w:rsid w:val="00B434E4"/>
    <w:rsid w:val="00B45A52"/>
    <w:rsid w:val="00B46175"/>
    <w:rsid w:val="00B46AEF"/>
    <w:rsid w:val="00B548B7"/>
    <w:rsid w:val="00B54E77"/>
    <w:rsid w:val="00B664C7"/>
    <w:rsid w:val="00B715F8"/>
    <w:rsid w:val="00B735F0"/>
    <w:rsid w:val="00B739F6"/>
    <w:rsid w:val="00B76E5B"/>
    <w:rsid w:val="00B7734A"/>
    <w:rsid w:val="00B803A2"/>
    <w:rsid w:val="00B81A6C"/>
    <w:rsid w:val="00B8340C"/>
    <w:rsid w:val="00B85DE5"/>
    <w:rsid w:val="00B866EC"/>
    <w:rsid w:val="00B86C1A"/>
    <w:rsid w:val="00B90E0E"/>
    <w:rsid w:val="00B90F73"/>
    <w:rsid w:val="00B91045"/>
    <w:rsid w:val="00B91679"/>
    <w:rsid w:val="00B93B59"/>
    <w:rsid w:val="00B9406A"/>
    <w:rsid w:val="00B95694"/>
    <w:rsid w:val="00BA2280"/>
    <w:rsid w:val="00BA2A08"/>
    <w:rsid w:val="00BA54D6"/>
    <w:rsid w:val="00BA56D2"/>
    <w:rsid w:val="00BA5BC3"/>
    <w:rsid w:val="00BA76E0"/>
    <w:rsid w:val="00BB07E5"/>
    <w:rsid w:val="00BB2A25"/>
    <w:rsid w:val="00BB51E9"/>
    <w:rsid w:val="00BB6C99"/>
    <w:rsid w:val="00BC0FDC"/>
    <w:rsid w:val="00BC3053"/>
    <w:rsid w:val="00BC36FA"/>
    <w:rsid w:val="00BC4D2E"/>
    <w:rsid w:val="00BD48AC"/>
    <w:rsid w:val="00BD5F1A"/>
    <w:rsid w:val="00BD6D3F"/>
    <w:rsid w:val="00BE1234"/>
    <w:rsid w:val="00BE2E16"/>
    <w:rsid w:val="00BE2FA6"/>
    <w:rsid w:val="00BE333F"/>
    <w:rsid w:val="00BE7406"/>
    <w:rsid w:val="00BE7603"/>
    <w:rsid w:val="00BE7906"/>
    <w:rsid w:val="00BF3279"/>
    <w:rsid w:val="00BF3AC1"/>
    <w:rsid w:val="00BF74C7"/>
    <w:rsid w:val="00C015F1"/>
    <w:rsid w:val="00C01F33"/>
    <w:rsid w:val="00C02CC6"/>
    <w:rsid w:val="00C040F7"/>
    <w:rsid w:val="00C044AB"/>
    <w:rsid w:val="00C05706"/>
    <w:rsid w:val="00C072E2"/>
    <w:rsid w:val="00C07377"/>
    <w:rsid w:val="00C10478"/>
    <w:rsid w:val="00C10E2F"/>
    <w:rsid w:val="00C12107"/>
    <w:rsid w:val="00C14BEF"/>
    <w:rsid w:val="00C14D4B"/>
    <w:rsid w:val="00C154BB"/>
    <w:rsid w:val="00C16376"/>
    <w:rsid w:val="00C220D8"/>
    <w:rsid w:val="00C279B5"/>
    <w:rsid w:val="00C27C45"/>
    <w:rsid w:val="00C30ED5"/>
    <w:rsid w:val="00C35CF7"/>
    <w:rsid w:val="00C3719D"/>
    <w:rsid w:val="00C37CB2"/>
    <w:rsid w:val="00C473A5"/>
    <w:rsid w:val="00C51370"/>
    <w:rsid w:val="00C54995"/>
    <w:rsid w:val="00C54D41"/>
    <w:rsid w:val="00C5742A"/>
    <w:rsid w:val="00C60783"/>
    <w:rsid w:val="00C6371A"/>
    <w:rsid w:val="00C64672"/>
    <w:rsid w:val="00C66531"/>
    <w:rsid w:val="00C66B1B"/>
    <w:rsid w:val="00C70697"/>
    <w:rsid w:val="00C712E5"/>
    <w:rsid w:val="00C72093"/>
    <w:rsid w:val="00C72EF4"/>
    <w:rsid w:val="00C744FE"/>
    <w:rsid w:val="00C746D1"/>
    <w:rsid w:val="00C747C0"/>
    <w:rsid w:val="00C75CED"/>
    <w:rsid w:val="00C75D2F"/>
    <w:rsid w:val="00C767BE"/>
    <w:rsid w:val="00C76E3C"/>
    <w:rsid w:val="00C77FBC"/>
    <w:rsid w:val="00C81568"/>
    <w:rsid w:val="00C8339F"/>
    <w:rsid w:val="00C83637"/>
    <w:rsid w:val="00C83DC2"/>
    <w:rsid w:val="00C9027A"/>
    <w:rsid w:val="00C9068E"/>
    <w:rsid w:val="00C90BD0"/>
    <w:rsid w:val="00C93814"/>
    <w:rsid w:val="00C93C4B"/>
    <w:rsid w:val="00C944AB"/>
    <w:rsid w:val="00C95B40"/>
    <w:rsid w:val="00C9704F"/>
    <w:rsid w:val="00CA1ED8"/>
    <w:rsid w:val="00CA747F"/>
    <w:rsid w:val="00CB1F63"/>
    <w:rsid w:val="00CB7170"/>
    <w:rsid w:val="00CC040E"/>
    <w:rsid w:val="00CC111F"/>
    <w:rsid w:val="00CC2011"/>
    <w:rsid w:val="00CC3426"/>
    <w:rsid w:val="00CC3AC6"/>
    <w:rsid w:val="00CC3EA0"/>
    <w:rsid w:val="00CC4CA6"/>
    <w:rsid w:val="00CC7B45"/>
    <w:rsid w:val="00CD1188"/>
    <w:rsid w:val="00CD2ED1"/>
    <w:rsid w:val="00CD337B"/>
    <w:rsid w:val="00CD46BE"/>
    <w:rsid w:val="00CD5C44"/>
    <w:rsid w:val="00CD7CF5"/>
    <w:rsid w:val="00CE0424"/>
    <w:rsid w:val="00CE2016"/>
    <w:rsid w:val="00CE2356"/>
    <w:rsid w:val="00CE736B"/>
    <w:rsid w:val="00CE7561"/>
    <w:rsid w:val="00CF0FF8"/>
    <w:rsid w:val="00CF1157"/>
    <w:rsid w:val="00CF1354"/>
    <w:rsid w:val="00CF2A28"/>
    <w:rsid w:val="00CF3B1F"/>
    <w:rsid w:val="00CF3BF6"/>
    <w:rsid w:val="00CF625B"/>
    <w:rsid w:val="00CF687E"/>
    <w:rsid w:val="00D015CD"/>
    <w:rsid w:val="00D0245F"/>
    <w:rsid w:val="00D0349B"/>
    <w:rsid w:val="00D07337"/>
    <w:rsid w:val="00D10249"/>
    <w:rsid w:val="00D115C3"/>
    <w:rsid w:val="00D11897"/>
    <w:rsid w:val="00D121A5"/>
    <w:rsid w:val="00D13135"/>
    <w:rsid w:val="00D13E4E"/>
    <w:rsid w:val="00D14445"/>
    <w:rsid w:val="00D172DC"/>
    <w:rsid w:val="00D21473"/>
    <w:rsid w:val="00D239A7"/>
    <w:rsid w:val="00D23F47"/>
    <w:rsid w:val="00D25666"/>
    <w:rsid w:val="00D270FA"/>
    <w:rsid w:val="00D36E71"/>
    <w:rsid w:val="00D37D87"/>
    <w:rsid w:val="00D40B33"/>
    <w:rsid w:val="00D429E3"/>
    <w:rsid w:val="00D4318F"/>
    <w:rsid w:val="00D438BF"/>
    <w:rsid w:val="00D440F8"/>
    <w:rsid w:val="00D50488"/>
    <w:rsid w:val="00D51803"/>
    <w:rsid w:val="00D53E3F"/>
    <w:rsid w:val="00D542A9"/>
    <w:rsid w:val="00D546FF"/>
    <w:rsid w:val="00D55AD5"/>
    <w:rsid w:val="00D576CA"/>
    <w:rsid w:val="00D61928"/>
    <w:rsid w:val="00D61AF5"/>
    <w:rsid w:val="00D62C85"/>
    <w:rsid w:val="00D652B5"/>
    <w:rsid w:val="00D66155"/>
    <w:rsid w:val="00D66515"/>
    <w:rsid w:val="00D708B0"/>
    <w:rsid w:val="00D71563"/>
    <w:rsid w:val="00D75223"/>
    <w:rsid w:val="00D755E8"/>
    <w:rsid w:val="00D762A5"/>
    <w:rsid w:val="00D77B1D"/>
    <w:rsid w:val="00D800B7"/>
    <w:rsid w:val="00D8021F"/>
    <w:rsid w:val="00D80383"/>
    <w:rsid w:val="00D80CAE"/>
    <w:rsid w:val="00D823C6"/>
    <w:rsid w:val="00D8327F"/>
    <w:rsid w:val="00D83D10"/>
    <w:rsid w:val="00D83E49"/>
    <w:rsid w:val="00D86CA3"/>
    <w:rsid w:val="00D871CE"/>
    <w:rsid w:val="00D904DB"/>
    <w:rsid w:val="00D91769"/>
    <w:rsid w:val="00D9196D"/>
    <w:rsid w:val="00D92982"/>
    <w:rsid w:val="00D94915"/>
    <w:rsid w:val="00DA14D6"/>
    <w:rsid w:val="00DA305E"/>
    <w:rsid w:val="00DA5417"/>
    <w:rsid w:val="00DA56E8"/>
    <w:rsid w:val="00DB043D"/>
    <w:rsid w:val="00DB0A9F"/>
    <w:rsid w:val="00DB377D"/>
    <w:rsid w:val="00DB41F9"/>
    <w:rsid w:val="00DB6992"/>
    <w:rsid w:val="00DC1375"/>
    <w:rsid w:val="00DC187F"/>
    <w:rsid w:val="00DC2D36"/>
    <w:rsid w:val="00DC3FB4"/>
    <w:rsid w:val="00DC53EF"/>
    <w:rsid w:val="00DD38A9"/>
    <w:rsid w:val="00DD70FF"/>
    <w:rsid w:val="00DD79FA"/>
    <w:rsid w:val="00DE053E"/>
    <w:rsid w:val="00DE06E5"/>
    <w:rsid w:val="00DE5608"/>
    <w:rsid w:val="00DE58D0"/>
    <w:rsid w:val="00DE621A"/>
    <w:rsid w:val="00DE654F"/>
    <w:rsid w:val="00DF0B6E"/>
    <w:rsid w:val="00DF15E0"/>
    <w:rsid w:val="00DF37A0"/>
    <w:rsid w:val="00DF4624"/>
    <w:rsid w:val="00DF4DC6"/>
    <w:rsid w:val="00E01D63"/>
    <w:rsid w:val="00E0468E"/>
    <w:rsid w:val="00E10DF8"/>
    <w:rsid w:val="00E110E7"/>
    <w:rsid w:val="00E11B20"/>
    <w:rsid w:val="00E15256"/>
    <w:rsid w:val="00E17FA2"/>
    <w:rsid w:val="00E22330"/>
    <w:rsid w:val="00E237CE"/>
    <w:rsid w:val="00E23A83"/>
    <w:rsid w:val="00E24438"/>
    <w:rsid w:val="00E2560D"/>
    <w:rsid w:val="00E269F9"/>
    <w:rsid w:val="00E30B5A"/>
    <w:rsid w:val="00E3123D"/>
    <w:rsid w:val="00E31461"/>
    <w:rsid w:val="00E314EC"/>
    <w:rsid w:val="00E31535"/>
    <w:rsid w:val="00E31D43"/>
    <w:rsid w:val="00E321BD"/>
    <w:rsid w:val="00E32608"/>
    <w:rsid w:val="00E34188"/>
    <w:rsid w:val="00E343D2"/>
    <w:rsid w:val="00E34B6E"/>
    <w:rsid w:val="00E35559"/>
    <w:rsid w:val="00E3723A"/>
    <w:rsid w:val="00E37860"/>
    <w:rsid w:val="00E414A0"/>
    <w:rsid w:val="00E41C25"/>
    <w:rsid w:val="00E420D0"/>
    <w:rsid w:val="00E42F33"/>
    <w:rsid w:val="00E446F1"/>
    <w:rsid w:val="00E455C2"/>
    <w:rsid w:val="00E46886"/>
    <w:rsid w:val="00E47AEF"/>
    <w:rsid w:val="00E53B75"/>
    <w:rsid w:val="00E54063"/>
    <w:rsid w:val="00E54E3B"/>
    <w:rsid w:val="00E56958"/>
    <w:rsid w:val="00E57565"/>
    <w:rsid w:val="00E6165D"/>
    <w:rsid w:val="00E6166C"/>
    <w:rsid w:val="00E61933"/>
    <w:rsid w:val="00E631C5"/>
    <w:rsid w:val="00E63838"/>
    <w:rsid w:val="00E64434"/>
    <w:rsid w:val="00E64F35"/>
    <w:rsid w:val="00E67C51"/>
    <w:rsid w:val="00E72EFC"/>
    <w:rsid w:val="00E745A7"/>
    <w:rsid w:val="00E758EC"/>
    <w:rsid w:val="00E815F6"/>
    <w:rsid w:val="00E8234C"/>
    <w:rsid w:val="00E83AA9"/>
    <w:rsid w:val="00E8459A"/>
    <w:rsid w:val="00E85928"/>
    <w:rsid w:val="00E87365"/>
    <w:rsid w:val="00E87822"/>
    <w:rsid w:val="00E90395"/>
    <w:rsid w:val="00E90E49"/>
    <w:rsid w:val="00E917F9"/>
    <w:rsid w:val="00E9291C"/>
    <w:rsid w:val="00E93FFE"/>
    <w:rsid w:val="00E94F8A"/>
    <w:rsid w:val="00EA2BE7"/>
    <w:rsid w:val="00EA63EF"/>
    <w:rsid w:val="00EA7A41"/>
    <w:rsid w:val="00EB077B"/>
    <w:rsid w:val="00EB4EA2"/>
    <w:rsid w:val="00EB6D27"/>
    <w:rsid w:val="00EC0EBF"/>
    <w:rsid w:val="00EC0FB6"/>
    <w:rsid w:val="00EC24D5"/>
    <w:rsid w:val="00EC27C6"/>
    <w:rsid w:val="00EC4207"/>
    <w:rsid w:val="00EC4827"/>
    <w:rsid w:val="00EC5653"/>
    <w:rsid w:val="00EC71CE"/>
    <w:rsid w:val="00EC7650"/>
    <w:rsid w:val="00EC7EFE"/>
    <w:rsid w:val="00ED0E4E"/>
    <w:rsid w:val="00ED1006"/>
    <w:rsid w:val="00ED2B7B"/>
    <w:rsid w:val="00ED4158"/>
    <w:rsid w:val="00EE4853"/>
    <w:rsid w:val="00EF0BDD"/>
    <w:rsid w:val="00EF18FE"/>
    <w:rsid w:val="00EF5787"/>
    <w:rsid w:val="00EF60D0"/>
    <w:rsid w:val="00F02818"/>
    <w:rsid w:val="00F02AD3"/>
    <w:rsid w:val="00F0528D"/>
    <w:rsid w:val="00F06C67"/>
    <w:rsid w:val="00F06DFD"/>
    <w:rsid w:val="00F071D1"/>
    <w:rsid w:val="00F07533"/>
    <w:rsid w:val="00F10629"/>
    <w:rsid w:val="00F10F0F"/>
    <w:rsid w:val="00F14A0D"/>
    <w:rsid w:val="00F15FA5"/>
    <w:rsid w:val="00F209B7"/>
    <w:rsid w:val="00F225AA"/>
    <w:rsid w:val="00F2376F"/>
    <w:rsid w:val="00F243D8"/>
    <w:rsid w:val="00F26609"/>
    <w:rsid w:val="00F30828"/>
    <w:rsid w:val="00F313D6"/>
    <w:rsid w:val="00F373EF"/>
    <w:rsid w:val="00F3764E"/>
    <w:rsid w:val="00F40F0C"/>
    <w:rsid w:val="00F41E17"/>
    <w:rsid w:val="00F4440C"/>
    <w:rsid w:val="00F4766C"/>
    <w:rsid w:val="00F5060E"/>
    <w:rsid w:val="00F507D1"/>
    <w:rsid w:val="00F519CE"/>
    <w:rsid w:val="00F51ADA"/>
    <w:rsid w:val="00F529AE"/>
    <w:rsid w:val="00F54003"/>
    <w:rsid w:val="00F5429E"/>
    <w:rsid w:val="00F55548"/>
    <w:rsid w:val="00F60203"/>
    <w:rsid w:val="00F607C5"/>
    <w:rsid w:val="00F60DEA"/>
    <w:rsid w:val="00F6302A"/>
    <w:rsid w:val="00F63950"/>
    <w:rsid w:val="00F63FEE"/>
    <w:rsid w:val="00F64C2B"/>
    <w:rsid w:val="00F651BE"/>
    <w:rsid w:val="00F67F53"/>
    <w:rsid w:val="00F703BE"/>
    <w:rsid w:val="00F71F69"/>
    <w:rsid w:val="00F72B72"/>
    <w:rsid w:val="00F74BB9"/>
    <w:rsid w:val="00F75582"/>
    <w:rsid w:val="00F76EFA"/>
    <w:rsid w:val="00F804BE"/>
    <w:rsid w:val="00F817CE"/>
    <w:rsid w:val="00F82456"/>
    <w:rsid w:val="00F8456C"/>
    <w:rsid w:val="00F859D8"/>
    <w:rsid w:val="00F868F5"/>
    <w:rsid w:val="00F878E0"/>
    <w:rsid w:val="00F87C5D"/>
    <w:rsid w:val="00F9056A"/>
    <w:rsid w:val="00F90CB0"/>
    <w:rsid w:val="00F90F8D"/>
    <w:rsid w:val="00F92782"/>
    <w:rsid w:val="00F93AA9"/>
    <w:rsid w:val="00F96985"/>
    <w:rsid w:val="00F9716F"/>
    <w:rsid w:val="00F97838"/>
    <w:rsid w:val="00FA2BB3"/>
    <w:rsid w:val="00FB0575"/>
    <w:rsid w:val="00FB096E"/>
    <w:rsid w:val="00FB391C"/>
    <w:rsid w:val="00FB3FB6"/>
    <w:rsid w:val="00FB426F"/>
    <w:rsid w:val="00FB4C80"/>
    <w:rsid w:val="00FB4E1B"/>
    <w:rsid w:val="00FB5325"/>
    <w:rsid w:val="00FB6A6A"/>
    <w:rsid w:val="00FC51F1"/>
    <w:rsid w:val="00FC60AF"/>
    <w:rsid w:val="00FC7429"/>
    <w:rsid w:val="00FC7D3D"/>
    <w:rsid w:val="00FD07F6"/>
    <w:rsid w:val="00FD1EC8"/>
    <w:rsid w:val="00FD47ED"/>
    <w:rsid w:val="00FD4B57"/>
    <w:rsid w:val="00FD5409"/>
    <w:rsid w:val="00FD74DB"/>
    <w:rsid w:val="00FD75B3"/>
    <w:rsid w:val="00FD7660"/>
    <w:rsid w:val="00FE0655"/>
    <w:rsid w:val="00FE2365"/>
    <w:rsid w:val="00FE37D7"/>
    <w:rsid w:val="00FE4C7B"/>
    <w:rsid w:val="00FE7336"/>
    <w:rsid w:val="00FE787C"/>
    <w:rsid w:val="00FF26DA"/>
    <w:rsid w:val="00FF2C37"/>
    <w:rsid w:val="00FF3334"/>
    <w:rsid w:val="00FF45A5"/>
    <w:rsid w:val="00FF5C91"/>
    <w:rsid w:val="00FF78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35A"/>
    <w:pPr>
      <w:overflowPunct w:val="0"/>
      <w:autoSpaceDE w:val="0"/>
      <w:autoSpaceDN w:val="0"/>
      <w:adjustRightInd w:val="0"/>
      <w:spacing w:after="180"/>
      <w:jc w:val="both"/>
      <w:textAlignment w:val="baseline"/>
    </w:pPr>
    <w:rPr>
      <w:rFonts w:ascii="Arial" w:eastAsia="PMingLiU" w:hAnsi="Arial" w:cs="Arial"/>
      <w:lang w:eastAsia="zh-TW"/>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60035A"/>
    <w:pPr>
      <w:spacing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B4E1B"/>
    <w:pPr>
      <w:numPr>
        <w:numId w:val="0"/>
      </w:numPr>
      <w:tabs>
        <w:tab w:val="clear" w:pos="1701"/>
        <w:tab w:val="left" w:pos="1560"/>
      </w:tabs>
      <w:ind w:left="1560" w:hanging="1560"/>
      <w:textAlignment w:val="auto"/>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77FBC"/>
    <w:pPr>
      <w:numPr>
        <w:numId w:val="90"/>
      </w:numPr>
      <w:spacing w:after="0"/>
    </w:pPr>
    <w:rPr>
      <w:rFonts w:eastAsia="Calibri"/>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C77FBC"/>
    <w:rPr>
      <w:rFonts w:ascii="Arial" w:eastAsia="Calibri" w:hAnsi="Arial" w:cs="Arial"/>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B160A3"/>
    <w:rPr>
      <w:color w:val="605E5C"/>
      <w:shd w:val="clear" w:color="auto" w:fill="E1DFDD"/>
    </w:rPr>
  </w:style>
  <w:style w:type="paragraph" w:styleId="Revision">
    <w:name w:val="Revision"/>
    <w:hidden/>
    <w:uiPriority w:val="99"/>
    <w:semiHidden/>
    <w:rsid w:val="006537BE"/>
    <w:rPr>
      <w:rFonts w:ascii="Times New Roman" w:hAnsi="Times New Roman"/>
      <w:lang w:eastAsia="ja-JP"/>
    </w:rPr>
  </w:style>
  <w:style w:type="paragraph" w:customStyle="1" w:styleId="Agreement">
    <w:name w:val="Agreement"/>
    <w:basedOn w:val="Normal"/>
    <w:next w:val="Normal"/>
    <w:uiPriority w:val="99"/>
    <w:qFormat/>
    <w:rsid w:val="00F529AE"/>
    <w:pPr>
      <w:numPr>
        <w:numId w:val="23"/>
      </w:numPr>
      <w:overflowPunct/>
      <w:autoSpaceDE/>
      <w:autoSpaceDN/>
      <w:adjustRightInd/>
      <w:spacing w:before="60" w:after="0"/>
      <w:textAlignment w:val="auto"/>
    </w:pPr>
    <w:rPr>
      <w:rFonts w:eastAsia="MS Mincho"/>
      <w:b/>
      <w:szCs w:val="24"/>
      <w:lang w:eastAsia="en-GB"/>
    </w:rPr>
  </w:style>
  <w:style w:type="paragraph" w:customStyle="1" w:styleId="Doc-title">
    <w:name w:val="Doc-title"/>
    <w:basedOn w:val="Normal"/>
    <w:next w:val="Doc-text2"/>
    <w:link w:val="Doc-titleChar"/>
    <w:qFormat/>
    <w:rsid w:val="00013AC8"/>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013AC8"/>
    <w:rPr>
      <w:rFonts w:ascii="Arial" w:eastAsia="MS Mincho" w:hAnsi="Arial"/>
      <w:noProof/>
      <w:szCs w:val="24"/>
    </w:rPr>
  </w:style>
  <w:style w:type="paragraph" w:customStyle="1" w:styleId="Doc-comment">
    <w:name w:val="Doc-comment"/>
    <w:basedOn w:val="Normal"/>
    <w:next w:val="Doc-text2"/>
    <w:qFormat/>
    <w:rsid w:val="00013AC8"/>
    <w:pPr>
      <w:tabs>
        <w:tab w:val="left" w:pos="1622"/>
      </w:tabs>
      <w:overflowPunct/>
      <w:autoSpaceDE/>
      <w:autoSpaceDN/>
      <w:adjustRightInd/>
      <w:spacing w:after="0"/>
      <w:ind w:left="1622" w:hanging="363"/>
      <w:textAlignment w:val="auto"/>
    </w:pPr>
    <w:rPr>
      <w:rFonts w:eastAsia="MS Mincho"/>
      <w:i/>
      <w:szCs w:val="24"/>
      <w:lang w:eastAsia="en-GB"/>
    </w:rPr>
  </w:style>
  <w:style w:type="paragraph" w:styleId="NormalIndent">
    <w:name w:val="Normal Indent"/>
    <w:basedOn w:val="Normal"/>
    <w:rsid w:val="00FB3FB6"/>
    <w:pPr>
      <w:ind w:left="720"/>
    </w:pPr>
  </w:style>
  <w:style w:type="paragraph" w:styleId="BodyText2">
    <w:name w:val="Body Text 2"/>
    <w:basedOn w:val="Normal"/>
    <w:link w:val="BodyText2Char"/>
    <w:rsid w:val="00F225AA"/>
    <w:pPr>
      <w:spacing w:after="120" w:line="480" w:lineRule="auto"/>
    </w:pPr>
  </w:style>
  <w:style w:type="character" w:customStyle="1" w:styleId="BodyText2Char">
    <w:name w:val="Body Text 2 Char"/>
    <w:basedOn w:val="DefaultParagraphFont"/>
    <w:link w:val="BodyText2"/>
    <w:rsid w:val="00F225AA"/>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3045">
      <w:bodyDiv w:val="1"/>
      <w:marLeft w:val="0"/>
      <w:marRight w:val="0"/>
      <w:marTop w:val="0"/>
      <w:marBottom w:val="0"/>
      <w:divBdr>
        <w:top w:val="none" w:sz="0" w:space="0" w:color="auto"/>
        <w:left w:val="none" w:sz="0" w:space="0" w:color="auto"/>
        <w:bottom w:val="none" w:sz="0" w:space="0" w:color="auto"/>
        <w:right w:val="none" w:sz="0" w:space="0" w:color="auto"/>
      </w:divBdr>
    </w:div>
    <w:div w:id="16588746">
      <w:bodyDiv w:val="1"/>
      <w:marLeft w:val="0"/>
      <w:marRight w:val="0"/>
      <w:marTop w:val="0"/>
      <w:marBottom w:val="0"/>
      <w:divBdr>
        <w:top w:val="none" w:sz="0" w:space="0" w:color="auto"/>
        <w:left w:val="none" w:sz="0" w:space="0" w:color="auto"/>
        <w:bottom w:val="none" w:sz="0" w:space="0" w:color="auto"/>
        <w:right w:val="none" w:sz="0" w:space="0" w:color="auto"/>
      </w:divBdr>
    </w:div>
    <w:div w:id="42098242">
      <w:bodyDiv w:val="1"/>
      <w:marLeft w:val="0"/>
      <w:marRight w:val="0"/>
      <w:marTop w:val="0"/>
      <w:marBottom w:val="0"/>
      <w:divBdr>
        <w:top w:val="none" w:sz="0" w:space="0" w:color="auto"/>
        <w:left w:val="none" w:sz="0" w:space="0" w:color="auto"/>
        <w:bottom w:val="none" w:sz="0" w:space="0" w:color="auto"/>
        <w:right w:val="none" w:sz="0" w:space="0" w:color="auto"/>
      </w:divBdr>
    </w:div>
    <w:div w:id="48889874">
      <w:bodyDiv w:val="1"/>
      <w:marLeft w:val="0"/>
      <w:marRight w:val="0"/>
      <w:marTop w:val="0"/>
      <w:marBottom w:val="0"/>
      <w:divBdr>
        <w:top w:val="none" w:sz="0" w:space="0" w:color="auto"/>
        <w:left w:val="none" w:sz="0" w:space="0" w:color="auto"/>
        <w:bottom w:val="none" w:sz="0" w:space="0" w:color="auto"/>
        <w:right w:val="none" w:sz="0" w:space="0" w:color="auto"/>
      </w:divBdr>
    </w:div>
    <w:div w:id="56054256">
      <w:bodyDiv w:val="1"/>
      <w:marLeft w:val="0"/>
      <w:marRight w:val="0"/>
      <w:marTop w:val="0"/>
      <w:marBottom w:val="0"/>
      <w:divBdr>
        <w:top w:val="none" w:sz="0" w:space="0" w:color="auto"/>
        <w:left w:val="none" w:sz="0" w:space="0" w:color="auto"/>
        <w:bottom w:val="none" w:sz="0" w:space="0" w:color="auto"/>
        <w:right w:val="none" w:sz="0" w:space="0" w:color="auto"/>
      </w:divBdr>
    </w:div>
    <w:div w:id="56831594">
      <w:bodyDiv w:val="1"/>
      <w:marLeft w:val="0"/>
      <w:marRight w:val="0"/>
      <w:marTop w:val="0"/>
      <w:marBottom w:val="0"/>
      <w:divBdr>
        <w:top w:val="none" w:sz="0" w:space="0" w:color="auto"/>
        <w:left w:val="none" w:sz="0" w:space="0" w:color="auto"/>
        <w:bottom w:val="none" w:sz="0" w:space="0" w:color="auto"/>
        <w:right w:val="none" w:sz="0" w:space="0" w:color="auto"/>
      </w:divBdr>
    </w:div>
    <w:div w:id="62220766">
      <w:bodyDiv w:val="1"/>
      <w:marLeft w:val="0"/>
      <w:marRight w:val="0"/>
      <w:marTop w:val="0"/>
      <w:marBottom w:val="0"/>
      <w:divBdr>
        <w:top w:val="none" w:sz="0" w:space="0" w:color="auto"/>
        <w:left w:val="none" w:sz="0" w:space="0" w:color="auto"/>
        <w:bottom w:val="none" w:sz="0" w:space="0" w:color="auto"/>
        <w:right w:val="none" w:sz="0" w:space="0" w:color="auto"/>
      </w:divBdr>
    </w:div>
    <w:div w:id="76945435">
      <w:bodyDiv w:val="1"/>
      <w:marLeft w:val="0"/>
      <w:marRight w:val="0"/>
      <w:marTop w:val="0"/>
      <w:marBottom w:val="0"/>
      <w:divBdr>
        <w:top w:val="none" w:sz="0" w:space="0" w:color="auto"/>
        <w:left w:val="none" w:sz="0" w:space="0" w:color="auto"/>
        <w:bottom w:val="none" w:sz="0" w:space="0" w:color="auto"/>
        <w:right w:val="none" w:sz="0" w:space="0" w:color="auto"/>
      </w:divBdr>
    </w:div>
    <w:div w:id="77023918">
      <w:bodyDiv w:val="1"/>
      <w:marLeft w:val="0"/>
      <w:marRight w:val="0"/>
      <w:marTop w:val="0"/>
      <w:marBottom w:val="0"/>
      <w:divBdr>
        <w:top w:val="none" w:sz="0" w:space="0" w:color="auto"/>
        <w:left w:val="none" w:sz="0" w:space="0" w:color="auto"/>
        <w:bottom w:val="none" w:sz="0" w:space="0" w:color="auto"/>
        <w:right w:val="none" w:sz="0" w:space="0" w:color="auto"/>
      </w:divBdr>
    </w:div>
    <w:div w:id="84806847">
      <w:bodyDiv w:val="1"/>
      <w:marLeft w:val="0"/>
      <w:marRight w:val="0"/>
      <w:marTop w:val="0"/>
      <w:marBottom w:val="0"/>
      <w:divBdr>
        <w:top w:val="none" w:sz="0" w:space="0" w:color="auto"/>
        <w:left w:val="none" w:sz="0" w:space="0" w:color="auto"/>
        <w:bottom w:val="none" w:sz="0" w:space="0" w:color="auto"/>
        <w:right w:val="none" w:sz="0" w:space="0" w:color="auto"/>
      </w:divBdr>
    </w:div>
    <w:div w:id="86734540">
      <w:bodyDiv w:val="1"/>
      <w:marLeft w:val="0"/>
      <w:marRight w:val="0"/>
      <w:marTop w:val="0"/>
      <w:marBottom w:val="0"/>
      <w:divBdr>
        <w:top w:val="none" w:sz="0" w:space="0" w:color="auto"/>
        <w:left w:val="none" w:sz="0" w:space="0" w:color="auto"/>
        <w:bottom w:val="none" w:sz="0" w:space="0" w:color="auto"/>
        <w:right w:val="none" w:sz="0" w:space="0" w:color="auto"/>
      </w:divBdr>
    </w:div>
    <w:div w:id="95757307">
      <w:bodyDiv w:val="1"/>
      <w:marLeft w:val="0"/>
      <w:marRight w:val="0"/>
      <w:marTop w:val="0"/>
      <w:marBottom w:val="0"/>
      <w:divBdr>
        <w:top w:val="none" w:sz="0" w:space="0" w:color="auto"/>
        <w:left w:val="none" w:sz="0" w:space="0" w:color="auto"/>
        <w:bottom w:val="none" w:sz="0" w:space="0" w:color="auto"/>
        <w:right w:val="none" w:sz="0" w:space="0" w:color="auto"/>
      </w:divBdr>
    </w:div>
    <w:div w:id="98336392">
      <w:bodyDiv w:val="1"/>
      <w:marLeft w:val="0"/>
      <w:marRight w:val="0"/>
      <w:marTop w:val="0"/>
      <w:marBottom w:val="0"/>
      <w:divBdr>
        <w:top w:val="none" w:sz="0" w:space="0" w:color="auto"/>
        <w:left w:val="none" w:sz="0" w:space="0" w:color="auto"/>
        <w:bottom w:val="none" w:sz="0" w:space="0" w:color="auto"/>
        <w:right w:val="none" w:sz="0" w:space="0" w:color="auto"/>
      </w:divBdr>
    </w:div>
    <w:div w:id="104813143">
      <w:bodyDiv w:val="1"/>
      <w:marLeft w:val="0"/>
      <w:marRight w:val="0"/>
      <w:marTop w:val="0"/>
      <w:marBottom w:val="0"/>
      <w:divBdr>
        <w:top w:val="none" w:sz="0" w:space="0" w:color="auto"/>
        <w:left w:val="none" w:sz="0" w:space="0" w:color="auto"/>
        <w:bottom w:val="none" w:sz="0" w:space="0" w:color="auto"/>
        <w:right w:val="none" w:sz="0" w:space="0" w:color="auto"/>
      </w:divBdr>
    </w:div>
    <w:div w:id="115878690">
      <w:bodyDiv w:val="1"/>
      <w:marLeft w:val="0"/>
      <w:marRight w:val="0"/>
      <w:marTop w:val="0"/>
      <w:marBottom w:val="0"/>
      <w:divBdr>
        <w:top w:val="none" w:sz="0" w:space="0" w:color="auto"/>
        <w:left w:val="none" w:sz="0" w:space="0" w:color="auto"/>
        <w:bottom w:val="none" w:sz="0" w:space="0" w:color="auto"/>
        <w:right w:val="none" w:sz="0" w:space="0" w:color="auto"/>
      </w:divBdr>
    </w:div>
    <w:div w:id="127551320">
      <w:bodyDiv w:val="1"/>
      <w:marLeft w:val="0"/>
      <w:marRight w:val="0"/>
      <w:marTop w:val="0"/>
      <w:marBottom w:val="0"/>
      <w:divBdr>
        <w:top w:val="none" w:sz="0" w:space="0" w:color="auto"/>
        <w:left w:val="none" w:sz="0" w:space="0" w:color="auto"/>
        <w:bottom w:val="none" w:sz="0" w:space="0" w:color="auto"/>
        <w:right w:val="none" w:sz="0" w:space="0" w:color="auto"/>
      </w:divBdr>
    </w:div>
    <w:div w:id="142284631">
      <w:bodyDiv w:val="1"/>
      <w:marLeft w:val="0"/>
      <w:marRight w:val="0"/>
      <w:marTop w:val="0"/>
      <w:marBottom w:val="0"/>
      <w:divBdr>
        <w:top w:val="none" w:sz="0" w:space="0" w:color="auto"/>
        <w:left w:val="none" w:sz="0" w:space="0" w:color="auto"/>
        <w:bottom w:val="none" w:sz="0" w:space="0" w:color="auto"/>
        <w:right w:val="none" w:sz="0" w:space="0" w:color="auto"/>
      </w:divBdr>
    </w:div>
    <w:div w:id="149947292">
      <w:bodyDiv w:val="1"/>
      <w:marLeft w:val="0"/>
      <w:marRight w:val="0"/>
      <w:marTop w:val="0"/>
      <w:marBottom w:val="0"/>
      <w:divBdr>
        <w:top w:val="none" w:sz="0" w:space="0" w:color="auto"/>
        <w:left w:val="none" w:sz="0" w:space="0" w:color="auto"/>
        <w:bottom w:val="none" w:sz="0" w:space="0" w:color="auto"/>
        <w:right w:val="none" w:sz="0" w:space="0" w:color="auto"/>
      </w:divBdr>
    </w:div>
    <w:div w:id="182792939">
      <w:bodyDiv w:val="1"/>
      <w:marLeft w:val="0"/>
      <w:marRight w:val="0"/>
      <w:marTop w:val="0"/>
      <w:marBottom w:val="0"/>
      <w:divBdr>
        <w:top w:val="none" w:sz="0" w:space="0" w:color="auto"/>
        <w:left w:val="none" w:sz="0" w:space="0" w:color="auto"/>
        <w:bottom w:val="none" w:sz="0" w:space="0" w:color="auto"/>
        <w:right w:val="none" w:sz="0" w:space="0" w:color="auto"/>
      </w:divBdr>
    </w:div>
    <w:div w:id="186873920">
      <w:bodyDiv w:val="1"/>
      <w:marLeft w:val="0"/>
      <w:marRight w:val="0"/>
      <w:marTop w:val="0"/>
      <w:marBottom w:val="0"/>
      <w:divBdr>
        <w:top w:val="none" w:sz="0" w:space="0" w:color="auto"/>
        <w:left w:val="none" w:sz="0" w:space="0" w:color="auto"/>
        <w:bottom w:val="none" w:sz="0" w:space="0" w:color="auto"/>
        <w:right w:val="none" w:sz="0" w:space="0" w:color="auto"/>
      </w:divBdr>
    </w:div>
    <w:div w:id="196967297">
      <w:bodyDiv w:val="1"/>
      <w:marLeft w:val="0"/>
      <w:marRight w:val="0"/>
      <w:marTop w:val="0"/>
      <w:marBottom w:val="0"/>
      <w:divBdr>
        <w:top w:val="none" w:sz="0" w:space="0" w:color="auto"/>
        <w:left w:val="none" w:sz="0" w:space="0" w:color="auto"/>
        <w:bottom w:val="none" w:sz="0" w:space="0" w:color="auto"/>
        <w:right w:val="none" w:sz="0" w:space="0" w:color="auto"/>
      </w:divBdr>
    </w:div>
    <w:div w:id="215819966">
      <w:bodyDiv w:val="1"/>
      <w:marLeft w:val="0"/>
      <w:marRight w:val="0"/>
      <w:marTop w:val="0"/>
      <w:marBottom w:val="0"/>
      <w:divBdr>
        <w:top w:val="none" w:sz="0" w:space="0" w:color="auto"/>
        <w:left w:val="none" w:sz="0" w:space="0" w:color="auto"/>
        <w:bottom w:val="none" w:sz="0" w:space="0" w:color="auto"/>
        <w:right w:val="none" w:sz="0" w:space="0" w:color="auto"/>
      </w:divBdr>
    </w:div>
    <w:div w:id="223224799">
      <w:bodyDiv w:val="1"/>
      <w:marLeft w:val="0"/>
      <w:marRight w:val="0"/>
      <w:marTop w:val="0"/>
      <w:marBottom w:val="0"/>
      <w:divBdr>
        <w:top w:val="none" w:sz="0" w:space="0" w:color="auto"/>
        <w:left w:val="none" w:sz="0" w:space="0" w:color="auto"/>
        <w:bottom w:val="none" w:sz="0" w:space="0" w:color="auto"/>
        <w:right w:val="none" w:sz="0" w:space="0" w:color="auto"/>
      </w:divBdr>
    </w:div>
    <w:div w:id="236526242">
      <w:bodyDiv w:val="1"/>
      <w:marLeft w:val="0"/>
      <w:marRight w:val="0"/>
      <w:marTop w:val="0"/>
      <w:marBottom w:val="0"/>
      <w:divBdr>
        <w:top w:val="none" w:sz="0" w:space="0" w:color="auto"/>
        <w:left w:val="none" w:sz="0" w:space="0" w:color="auto"/>
        <w:bottom w:val="none" w:sz="0" w:space="0" w:color="auto"/>
        <w:right w:val="none" w:sz="0" w:space="0" w:color="auto"/>
      </w:divBdr>
    </w:div>
    <w:div w:id="267393393">
      <w:bodyDiv w:val="1"/>
      <w:marLeft w:val="0"/>
      <w:marRight w:val="0"/>
      <w:marTop w:val="0"/>
      <w:marBottom w:val="0"/>
      <w:divBdr>
        <w:top w:val="none" w:sz="0" w:space="0" w:color="auto"/>
        <w:left w:val="none" w:sz="0" w:space="0" w:color="auto"/>
        <w:bottom w:val="none" w:sz="0" w:space="0" w:color="auto"/>
        <w:right w:val="none" w:sz="0" w:space="0" w:color="auto"/>
      </w:divBdr>
    </w:div>
    <w:div w:id="268659921">
      <w:bodyDiv w:val="1"/>
      <w:marLeft w:val="0"/>
      <w:marRight w:val="0"/>
      <w:marTop w:val="0"/>
      <w:marBottom w:val="0"/>
      <w:divBdr>
        <w:top w:val="none" w:sz="0" w:space="0" w:color="auto"/>
        <w:left w:val="none" w:sz="0" w:space="0" w:color="auto"/>
        <w:bottom w:val="none" w:sz="0" w:space="0" w:color="auto"/>
        <w:right w:val="none" w:sz="0" w:space="0" w:color="auto"/>
      </w:divBdr>
    </w:div>
    <w:div w:id="271010346">
      <w:bodyDiv w:val="1"/>
      <w:marLeft w:val="0"/>
      <w:marRight w:val="0"/>
      <w:marTop w:val="0"/>
      <w:marBottom w:val="0"/>
      <w:divBdr>
        <w:top w:val="none" w:sz="0" w:space="0" w:color="auto"/>
        <w:left w:val="none" w:sz="0" w:space="0" w:color="auto"/>
        <w:bottom w:val="none" w:sz="0" w:space="0" w:color="auto"/>
        <w:right w:val="none" w:sz="0" w:space="0" w:color="auto"/>
      </w:divBdr>
    </w:div>
    <w:div w:id="280383126">
      <w:bodyDiv w:val="1"/>
      <w:marLeft w:val="0"/>
      <w:marRight w:val="0"/>
      <w:marTop w:val="0"/>
      <w:marBottom w:val="0"/>
      <w:divBdr>
        <w:top w:val="none" w:sz="0" w:space="0" w:color="auto"/>
        <w:left w:val="none" w:sz="0" w:space="0" w:color="auto"/>
        <w:bottom w:val="none" w:sz="0" w:space="0" w:color="auto"/>
        <w:right w:val="none" w:sz="0" w:space="0" w:color="auto"/>
      </w:divBdr>
    </w:div>
    <w:div w:id="281427122">
      <w:bodyDiv w:val="1"/>
      <w:marLeft w:val="0"/>
      <w:marRight w:val="0"/>
      <w:marTop w:val="0"/>
      <w:marBottom w:val="0"/>
      <w:divBdr>
        <w:top w:val="none" w:sz="0" w:space="0" w:color="auto"/>
        <w:left w:val="none" w:sz="0" w:space="0" w:color="auto"/>
        <w:bottom w:val="none" w:sz="0" w:space="0" w:color="auto"/>
        <w:right w:val="none" w:sz="0" w:space="0" w:color="auto"/>
      </w:divBdr>
    </w:div>
    <w:div w:id="285745607">
      <w:bodyDiv w:val="1"/>
      <w:marLeft w:val="0"/>
      <w:marRight w:val="0"/>
      <w:marTop w:val="0"/>
      <w:marBottom w:val="0"/>
      <w:divBdr>
        <w:top w:val="none" w:sz="0" w:space="0" w:color="auto"/>
        <w:left w:val="none" w:sz="0" w:space="0" w:color="auto"/>
        <w:bottom w:val="none" w:sz="0" w:space="0" w:color="auto"/>
        <w:right w:val="none" w:sz="0" w:space="0" w:color="auto"/>
      </w:divBdr>
    </w:div>
    <w:div w:id="308827779">
      <w:bodyDiv w:val="1"/>
      <w:marLeft w:val="0"/>
      <w:marRight w:val="0"/>
      <w:marTop w:val="0"/>
      <w:marBottom w:val="0"/>
      <w:divBdr>
        <w:top w:val="none" w:sz="0" w:space="0" w:color="auto"/>
        <w:left w:val="none" w:sz="0" w:space="0" w:color="auto"/>
        <w:bottom w:val="none" w:sz="0" w:space="0" w:color="auto"/>
        <w:right w:val="none" w:sz="0" w:space="0" w:color="auto"/>
      </w:divBdr>
    </w:div>
    <w:div w:id="309796319">
      <w:bodyDiv w:val="1"/>
      <w:marLeft w:val="0"/>
      <w:marRight w:val="0"/>
      <w:marTop w:val="0"/>
      <w:marBottom w:val="0"/>
      <w:divBdr>
        <w:top w:val="none" w:sz="0" w:space="0" w:color="auto"/>
        <w:left w:val="none" w:sz="0" w:space="0" w:color="auto"/>
        <w:bottom w:val="none" w:sz="0" w:space="0" w:color="auto"/>
        <w:right w:val="none" w:sz="0" w:space="0" w:color="auto"/>
      </w:divBdr>
    </w:div>
    <w:div w:id="318576714">
      <w:bodyDiv w:val="1"/>
      <w:marLeft w:val="0"/>
      <w:marRight w:val="0"/>
      <w:marTop w:val="0"/>
      <w:marBottom w:val="0"/>
      <w:divBdr>
        <w:top w:val="none" w:sz="0" w:space="0" w:color="auto"/>
        <w:left w:val="none" w:sz="0" w:space="0" w:color="auto"/>
        <w:bottom w:val="none" w:sz="0" w:space="0" w:color="auto"/>
        <w:right w:val="none" w:sz="0" w:space="0" w:color="auto"/>
      </w:divBdr>
    </w:div>
    <w:div w:id="321810254">
      <w:bodyDiv w:val="1"/>
      <w:marLeft w:val="0"/>
      <w:marRight w:val="0"/>
      <w:marTop w:val="0"/>
      <w:marBottom w:val="0"/>
      <w:divBdr>
        <w:top w:val="none" w:sz="0" w:space="0" w:color="auto"/>
        <w:left w:val="none" w:sz="0" w:space="0" w:color="auto"/>
        <w:bottom w:val="none" w:sz="0" w:space="0" w:color="auto"/>
        <w:right w:val="none" w:sz="0" w:space="0" w:color="auto"/>
      </w:divBdr>
    </w:div>
    <w:div w:id="329606329">
      <w:bodyDiv w:val="1"/>
      <w:marLeft w:val="0"/>
      <w:marRight w:val="0"/>
      <w:marTop w:val="0"/>
      <w:marBottom w:val="0"/>
      <w:divBdr>
        <w:top w:val="none" w:sz="0" w:space="0" w:color="auto"/>
        <w:left w:val="none" w:sz="0" w:space="0" w:color="auto"/>
        <w:bottom w:val="none" w:sz="0" w:space="0" w:color="auto"/>
        <w:right w:val="none" w:sz="0" w:space="0" w:color="auto"/>
      </w:divBdr>
    </w:div>
    <w:div w:id="334918894">
      <w:bodyDiv w:val="1"/>
      <w:marLeft w:val="0"/>
      <w:marRight w:val="0"/>
      <w:marTop w:val="0"/>
      <w:marBottom w:val="0"/>
      <w:divBdr>
        <w:top w:val="none" w:sz="0" w:space="0" w:color="auto"/>
        <w:left w:val="none" w:sz="0" w:space="0" w:color="auto"/>
        <w:bottom w:val="none" w:sz="0" w:space="0" w:color="auto"/>
        <w:right w:val="none" w:sz="0" w:space="0" w:color="auto"/>
      </w:divBdr>
    </w:div>
    <w:div w:id="335112442">
      <w:bodyDiv w:val="1"/>
      <w:marLeft w:val="0"/>
      <w:marRight w:val="0"/>
      <w:marTop w:val="0"/>
      <w:marBottom w:val="0"/>
      <w:divBdr>
        <w:top w:val="none" w:sz="0" w:space="0" w:color="auto"/>
        <w:left w:val="none" w:sz="0" w:space="0" w:color="auto"/>
        <w:bottom w:val="none" w:sz="0" w:space="0" w:color="auto"/>
        <w:right w:val="none" w:sz="0" w:space="0" w:color="auto"/>
      </w:divBdr>
    </w:div>
    <w:div w:id="342438359">
      <w:bodyDiv w:val="1"/>
      <w:marLeft w:val="0"/>
      <w:marRight w:val="0"/>
      <w:marTop w:val="0"/>
      <w:marBottom w:val="0"/>
      <w:divBdr>
        <w:top w:val="none" w:sz="0" w:space="0" w:color="auto"/>
        <w:left w:val="none" w:sz="0" w:space="0" w:color="auto"/>
        <w:bottom w:val="none" w:sz="0" w:space="0" w:color="auto"/>
        <w:right w:val="none" w:sz="0" w:space="0" w:color="auto"/>
      </w:divBdr>
    </w:div>
    <w:div w:id="353847180">
      <w:bodyDiv w:val="1"/>
      <w:marLeft w:val="0"/>
      <w:marRight w:val="0"/>
      <w:marTop w:val="0"/>
      <w:marBottom w:val="0"/>
      <w:divBdr>
        <w:top w:val="none" w:sz="0" w:space="0" w:color="auto"/>
        <w:left w:val="none" w:sz="0" w:space="0" w:color="auto"/>
        <w:bottom w:val="none" w:sz="0" w:space="0" w:color="auto"/>
        <w:right w:val="none" w:sz="0" w:space="0" w:color="auto"/>
      </w:divBdr>
    </w:div>
    <w:div w:id="379137493">
      <w:bodyDiv w:val="1"/>
      <w:marLeft w:val="0"/>
      <w:marRight w:val="0"/>
      <w:marTop w:val="0"/>
      <w:marBottom w:val="0"/>
      <w:divBdr>
        <w:top w:val="none" w:sz="0" w:space="0" w:color="auto"/>
        <w:left w:val="none" w:sz="0" w:space="0" w:color="auto"/>
        <w:bottom w:val="none" w:sz="0" w:space="0" w:color="auto"/>
        <w:right w:val="none" w:sz="0" w:space="0" w:color="auto"/>
      </w:divBdr>
    </w:div>
    <w:div w:id="389499840">
      <w:bodyDiv w:val="1"/>
      <w:marLeft w:val="0"/>
      <w:marRight w:val="0"/>
      <w:marTop w:val="0"/>
      <w:marBottom w:val="0"/>
      <w:divBdr>
        <w:top w:val="none" w:sz="0" w:space="0" w:color="auto"/>
        <w:left w:val="none" w:sz="0" w:space="0" w:color="auto"/>
        <w:bottom w:val="none" w:sz="0" w:space="0" w:color="auto"/>
        <w:right w:val="none" w:sz="0" w:space="0" w:color="auto"/>
      </w:divBdr>
    </w:div>
    <w:div w:id="393705161">
      <w:bodyDiv w:val="1"/>
      <w:marLeft w:val="0"/>
      <w:marRight w:val="0"/>
      <w:marTop w:val="0"/>
      <w:marBottom w:val="0"/>
      <w:divBdr>
        <w:top w:val="none" w:sz="0" w:space="0" w:color="auto"/>
        <w:left w:val="none" w:sz="0" w:space="0" w:color="auto"/>
        <w:bottom w:val="none" w:sz="0" w:space="0" w:color="auto"/>
        <w:right w:val="none" w:sz="0" w:space="0" w:color="auto"/>
      </w:divBdr>
    </w:div>
    <w:div w:id="408236211">
      <w:bodyDiv w:val="1"/>
      <w:marLeft w:val="0"/>
      <w:marRight w:val="0"/>
      <w:marTop w:val="0"/>
      <w:marBottom w:val="0"/>
      <w:divBdr>
        <w:top w:val="none" w:sz="0" w:space="0" w:color="auto"/>
        <w:left w:val="none" w:sz="0" w:space="0" w:color="auto"/>
        <w:bottom w:val="none" w:sz="0" w:space="0" w:color="auto"/>
        <w:right w:val="none" w:sz="0" w:space="0" w:color="auto"/>
      </w:divBdr>
    </w:div>
    <w:div w:id="414398045">
      <w:bodyDiv w:val="1"/>
      <w:marLeft w:val="0"/>
      <w:marRight w:val="0"/>
      <w:marTop w:val="0"/>
      <w:marBottom w:val="0"/>
      <w:divBdr>
        <w:top w:val="none" w:sz="0" w:space="0" w:color="auto"/>
        <w:left w:val="none" w:sz="0" w:space="0" w:color="auto"/>
        <w:bottom w:val="none" w:sz="0" w:space="0" w:color="auto"/>
        <w:right w:val="none" w:sz="0" w:space="0" w:color="auto"/>
      </w:divBdr>
    </w:div>
    <w:div w:id="414786118">
      <w:bodyDiv w:val="1"/>
      <w:marLeft w:val="0"/>
      <w:marRight w:val="0"/>
      <w:marTop w:val="0"/>
      <w:marBottom w:val="0"/>
      <w:divBdr>
        <w:top w:val="none" w:sz="0" w:space="0" w:color="auto"/>
        <w:left w:val="none" w:sz="0" w:space="0" w:color="auto"/>
        <w:bottom w:val="none" w:sz="0" w:space="0" w:color="auto"/>
        <w:right w:val="none" w:sz="0" w:space="0" w:color="auto"/>
      </w:divBdr>
    </w:div>
    <w:div w:id="421144716">
      <w:bodyDiv w:val="1"/>
      <w:marLeft w:val="0"/>
      <w:marRight w:val="0"/>
      <w:marTop w:val="0"/>
      <w:marBottom w:val="0"/>
      <w:divBdr>
        <w:top w:val="none" w:sz="0" w:space="0" w:color="auto"/>
        <w:left w:val="none" w:sz="0" w:space="0" w:color="auto"/>
        <w:bottom w:val="none" w:sz="0" w:space="0" w:color="auto"/>
        <w:right w:val="none" w:sz="0" w:space="0" w:color="auto"/>
      </w:divBdr>
    </w:div>
    <w:div w:id="432094425">
      <w:bodyDiv w:val="1"/>
      <w:marLeft w:val="0"/>
      <w:marRight w:val="0"/>
      <w:marTop w:val="0"/>
      <w:marBottom w:val="0"/>
      <w:divBdr>
        <w:top w:val="none" w:sz="0" w:space="0" w:color="auto"/>
        <w:left w:val="none" w:sz="0" w:space="0" w:color="auto"/>
        <w:bottom w:val="none" w:sz="0" w:space="0" w:color="auto"/>
        <w:right w:val="none" w:sz="0" w:space="0" w:color="auto"/>
      </w:divBdr>
    </w:div>
    <w:div w:id="479420763">
      <w:bodyDiv w:val="1"/>
      <w:marLeft w:val="0"/>
      <w:marRight w:val="0"/>
      <w:marTop w:val="0"/>
      <w:marBottom w:val="0"/>
      <w:divBdr>
        <w:top w:val="none" w:sz="0" w:space="0" w:color="auto"/>
        <w:left w:val="none" w:sz="0" w:space="0" w:color="auto"/>
        <w:bottom w:val="none" w:sz="0" w:space="0" w:color="auto"/>
        <w:right w:val="none" w:sz="0" w:space="0" w:color="auto"/>
      </w:divBdr>
    </w:div>
    <w:div w:id="486628896">
      <w:bodyDiv w:val="1"/>
      <w:marLeft w:val="0"/>
      <w:marRight w:val="0"/>
      <w:marTop w:val="0"/>
      <w:marBottom w:val="0"/>
      <w:divBdr>
        <w:top w:val="none" w:sz="0" w:space="0" w:color="auto"/>
        <w:left w:val="none" w:sz="0" w:space="0" w:color="auto"/>
        <w:bottom w:val="none" w:sz="0" w:space="0" w:color="auto"/>
        <w:right w:val="none" w:sz="0" w:space="0" w:color="auto"/>
      </w:divBdr>
    </w:div>
    <w:div w:id="492573406">
      <w:bodyDiv w:val="1"/>
      <w:marLeft w:val="0"/>
      <w:marRight w:val="0"/>
      <w:marTop w:val="0"/>
      <w:marBottom w:val="0"/>
      <w:divBdr>
        <w:top w:val="none" w:sz="0" w:space="0" w:color="auto"/>
        <w:left w:val="none" w:sz="0" w:space="0" w:color="auto"/>
        <w:bottom w:val="none" w:sz="0" w:space="0" w:color="auto"/>
        <w:right w:val="none" w:sz="0" w:space="0" w:color="auto"/>
      </w:divBdr>
    </w:div>
    <w:div w:id="495413460">
      <w:bodyDiv w:val="1"/>
      <w:marLeft w:val="0"/>
      <w:marRight w:val="0"/>
      <w:marTop w:val="0"/>
      <w:marBottom w:val="0"/>
      <w:divBdr>
        <w:top w:val="none" w:sz="0" w:space="0" w:color="auto"/>
        <w:left w:val="none" w:sz="0" w:space="0" w:color="auto"/>
        <w:bottom w:val="none" w:sz="0" w:space="0" w:color="auto"/>
        <w:right w:val="none" w:sz="0" w:space="0" w:color="auto"/>
      </w:divBdr>
    </w:div>
    <w:div w:id="512184738">
      <w:bodyDiv w:val="1"/>
      <w:marLeft w:val="0"/>
      <w:marRight w:val="0"/>
      <w:marTop w:val="0"/>
      <w:marBottom w:val="0"/>
      <w:divBdr>
        <w:top w:val="none" w:sz="0" w:space="0" w:color="auto"/>
        <w:left w:val="none" w:sz="0" w:space="0" w:color="auto"/>
        <w:bottom w:val="none" w:sz="0" w:space="0" w:color="auto"/>
        <w:right w:val="none" w:sz="0" w:space="0" w:color="auto"/>
      </w:divBdr>
    </w:div>
    <w:div w:id="512232624">
      <w:bodyDiv w:val="1"/>
      <w:marLeft w:val="0"/>
      <w:marRight w:val="0"/>
      <w:marTop w:val="0"/>
      <w:marBottom w:val="0"/>
      <w:divBdr>
        <w:top w:val="none" w:sz="0" w:space="0" w:color="auto"/>
        <w:left w:val="none" w:sz="0" w:space="0" w:color="auto"/>
        <w:bottom w:val="none" w:sz="0" w:space="0" w:color="auto"/>
        <w:right w:val="none" w:sz="0" w:space="0" w:color="auto"/>
      </w:divBdr>
    </w:div>
    <w:div w:id="512304241">
      <w:bodyDiv w:val="1"/>
      <w:marLeft w:val="0"/>
      <w:marRight w:val="0"/>
      <w:marTop w:val="0"/>
      <w:marBottom w:val="0"/>
      <w:divBdr>
        <w:top w:val="none" w:sz="0" w:space="0" w:color="auto"/>
        <w:left w:val="none" w:sz="0" w:space="0" w:color="auto"/>
        <w:bottom w:val="none" w:sz="0" w:space="0" w:color="auto"/>
        <w:right w:val="none" w:sz="0" w:space="0" w:color="auto"/>
      </w:divBdr>
    </w:div>
    <w:div w:id="515581993">
      <w:bodyDiv w:val="1"/>
      <w:marLeft w:val="0"/>
      <w:marRight w:val="0"/>
      <w:marTop w:val="0"/>
      <w:marBottom w:val="0"/>
      <w:divBdr>
        <w:top w:val="none" w:sz="0" w:space="0" w:color="auto"/>
        <w:left w:val="none" w:sz="0" w:space="0" w:color="auto"/>
        <w:bottom w:val="none" w:sz="0" w:space="0" w:color="auto"/>
        <w:right w:val="none" w:sz="0" w:space="0" w:color="auto"/>
      </w:divBdr>
    </w:div>
    <w:div w:id="528764079">
      <w:bodyDiv w:val="1"/>
      <w:marLeft w:val="0"/>
      <w:marRight w:val="0"/>
      <w:marTop w:val="0"/>
      <w:marBottom w:val="0"/>
      <w:divBdr>
        <w:top w:val="none" w:sz="0" w:space="0" w:color="auto"/>
        <w:left w:val="none" w:sz="0" w:space="0" w:color="auto"/>
        <w:bottom w:val="none" w:sz="0" w:space="0" w:color="auto"/>
        <w:right w:val="none" w:sz="0" w:space="0" w:color="auto"/>
      </w:divBdr>
    </w:div>
    <w:div w:id="548879951">
      <w:bodyDiv w:val="1"/>
      <w:marLeft w:val="0"/>
      <w:marRight w:val="0"/>
      <w:marTop w:val="0"/>
      <w:marBottom w:val="0"/>
      <w:divBdr>
        <w:top w:val="none" w:sz="0" w:space="0" w:color="auto"/>
        <w:left w:val="none" w:sz="0" w:space="0" w:color="auto"/>
        <w:bottom w:val="none" w:sz="0" w:space="0" w:color="auto"/>
        <w:right w:val="none" w:sz="0" w:space="0" w:color="auto"/>
      </w:divBdr>
    </w:div>
    <w:div w:id="550580993">
      <w:bodyDiv w:val="1"/>
      <w:marLeft w:val="0"/>
      <w:marRight w:val="0"/>
      <w:marTop w:val="0"/>
      <w:marBottom w:val="0"/>
      <w:divBdr>
        <w:top w:val="none" w:sz="0" w:space="0" w:color="auto"/>
        <w:left w:val="none" w:sz="0" w:space="0" w:color="auto"/>
        <w:bottom w:val="none" w:sz="0" w:space="0" w:color="auto"/>
        <w:right w:val="none" w:sz="0" w:space="0" w:color="auto"/>
      </w:divBdr>
    </w:div>
    <w:div w:id="567109096">
      <w:bodyDiv w:val="1"/>
      <w:marLeft w:val="0"/>
      <w:marRight w:val="0"/>
      <w:marTop w:val="0"/>
      <w:marBottom w:val="0"/>
      <w:divBdr>
        <w:top w:val="none" w:sz="0" w:space="0" w:color="auto"/>
        <w:left w:val="none" w:sz="0" w:space="0" w:color="auto"/>
        <w:bottom w:val="none" w:sz="0" w:space="0" w:color="auto"/>
        <w:right w:val="none" w:sz="0" w:space="0" w:color="auto"/>
      </w:divBdr>
    </w:div>
    <w:div w:id="576017740">
      <w:bodyDiv w:val="1"/>
      <w:marLeft w:val="0"/>
      <w:marRight w:val="0"/>
      <w:marTop w:val="0"/>
      <w:marBottom w:val="0"/>
      <w:divBdr>
        <w:top w:val="none" w:sz="0" w:space="0" w:color="auto"/>
        <w:left w:val="none" w:sz="0" w:space="0" w:color="auto"/>
        <w:bottom w:val="none" w:sz="0" w:space="0" w:color="auto"/>
        <w:right w:val="none" w:sz="0" w:space="0" w:color="auto"/>
      </w:divBdr>
    </w:div>
    <w:div w:id="576088161">
      <w:bodyDiv w:val="1"/>
      <w:marLeft w:val="0"/>
      <w:marRight w:val="0"/>
      <w:marTop w:val="0"/>
      <w:marBottom w:val="0"/>
      <w:divBdr>
        <w:top w:val="none" w:sz="0" w:space="0" w:color="auto"/>
        <w:left w:val="none" w:sz="0" w:space="0" w:color="auto"/>
        <w:bottom w:val="none" w:sz="0" w:space="0" w:color="auto"/>
        <w:right w:val="none" w:sz="0" w:space="0" w:color="auto"/>
      </w:divBdr>
    </w:div>
    <w:div w:id="578835335">
      <w:bodyDiv w:val="1"/>
      <w:marLeft w:val="0"/>
      <w:marRight w:val="0"/>
      <w:marTop w:val="0"/>
      <w:marBottom w:val="0"/>
      <w:divBdr>
        <w:top w:val="none" w:sz="0" w:space="0" w:color="auto"/>
        <w:left w:val="none" w:sz="0" w:space="0" w:color="auto"/>
        <w:bottom w:val="none" w:sz="0" w:space="0" w:color="auto"/>
        <w:right w:val="none" w:sz="0" w:space="0" w:color="auto"/>
      </w:divBdr>
    </w:div>
    <w:div w:id="583418559">
      <w:bodyDiv w:val="1"/>
      <w:marLeft w:val="0"/>
      <w:marRight w:val="0"/>
      <w:marTop w:val="0"/>
      <w:marBottom w:val="0"/>
      <w:divBdr>
        <w:top w:val="none" w:sz="0" w:space="0" w:color="auto"/>
        <w:left w:val="none" w:sz="0" w:space="0" w:color="auto"/>
        <w:bottom w:val="none" w:sz="0" w:space="0" w:color="auto"/>
        <w:right w:val="none" w:sz="0" w:space="0" w:color="auto"/>
      </w:divBdr>
    </w:div>
    <w:div w:id="584999969">
      <w:bodyDiv w:val="1"/>
      <w:marLeft w:val="0"/>
      <w:marRight w:val="0"/>
      <w:marTop w:val="0"/>
      <w:marBottom w:val="0"/>
      <w:divBdr>
        <w:top w:val="none" w:sz="0" w:space="0" w:color="auto"/>
        <w:left w:val="none" w:sz="0" w:space="0" w:color="auto"/>
        <w:bottom w:val="none" w:sz="0" w:space="0" w:color="auto"/>
        <w:right w:val="none" w:sz="0" w:space="0" w:color="auto"/>
      </w:divBdr>
    </w:div>
    <w:div w:id="591469723">
      <w:bodyDiv w:val="1"/>
      <w:marLeft w:val="0"/>
      <w:marRight w:val="0"/>
      <w:marTop w:val="0"/>
      <w:marBottom w:val="0"/>
      <w:divBdr>
        <w:top w:val="none" w:sz="0" w:space="0" w:color="auto"/>
        <w:left w:val="none" w:sz="0" w:space="0" w:color="auto"/>
        <w:bottom w:val="none" w:sz="0" w:space="0" w:color="auto"/>
        <w:right w:val="none" w:sz="0" w:space="0" w:color="auto"/>
      </w:divBdr>
    </w:div>
    <w:div w:id="592513479">
      <w:bodyDiv w:val="1"/>
      <w:marLeft w:val="0"/>
      <w:marRight w:val="0"/>
      <w:marTop w:val="0"/>
      <w:marBottom w:val="0"/>
      <w:divBdr>
        <w:top w:val="none" w:sz="0" w:space="0" w:color="auto"/>
        <w:left w:val="none" w:sz="0" w:space="0" w:color="auto"/>
        <w:bottom w:val="none" w:sz="0" w:space="0" w:color="auto"/>
        <w:right w:val="none" w:sz="0" w:space="0" w:color="auto"/>
      </w:divBdr>
    </w:div>
    <w:div w:id="603222839">
      <w:bodyDiv w:val="1"/>
      <w:marLeft w:val="0"/>
      <w:marRight w:val="0"/>
      <w:marTop w:val="0"/>
      <w:marBottom w:val="0"/>
      <w:divBdr>
        <w:top w:val="none" w:sz="0" w:space="0" w:color="auto"/>
        <w:left w:val="none" w:sz="0" w:space="0" w:color="auto"/>
        <w:bottom w:val="none" w:sz="0" w:space="0" w:color="auto"/>
        <w:right w:val="none" w:sz="0" w:space="0" w:color="auto"/>
      </w:divBdr>
    </w:div>
    <w:div w:id="619654188">
      <w:bodyDiv w:val="1"/>
      <w:marLeft w:val="0"/>
      <w:marRight w:val="0"/>
      <w:marTop w:val="0"/>
      <w:marBottom w:val="0"/>
      <w:divBdr>
        <w:top w:val="none" w:sz="0" w:space="0" w:color="auto"/>
        <w:left w:val="none" w:sz="0" w:space="0" w:color="auto"/>
        <w:bottom w:val="none" w:sz="0" w:space="0" w:color="auto"/>
        <w:right w:val="none" w:sz="0" w:space="0" w:color="auto"/>
      </w:divBdr>
    </w:div>
    <w:div w:id="639964833">
      <w:bodyDiv w:val="1"/>
      <w:marLeft w:val="0"/>
      <w:marRight w:val="0"/>
      <w:marTop w:val="0"/>
      <w:marBottom w:val="0"/>
      <w:divBdr>
        <w:top w:val="none" w:sz="0" w:space="0" w:color="auto"/>
        <w:left w:val="none" w:sz="0" w:space="0" w:color="auto"/>
        <w:bottom w:val="none" w:sz="0" w:space="0" w:color="auto"/>
        <w:right w:val="none" w:sz="0" w:space="0" w:color="auto"/>
      </w:divBdr>
    </w:div>
    <w:div w:id="645741720">
      <w:bodyDiv w:val="1"/>
      <w:marLeft w:val="0"/>
      <w:marRight w:val="0"/>
      <w:marTop w:val="0"/>
      <w:marBottom w:val="0"/>
      <w:divBdr>
        <w:top w:val="none" w:sz="0" w:space="0" w:color="auto"/>
        <w:left w:val="none" w:sz="0" w:space="0" w:color="auto"/>
        <w:bottom w:val="none" w:sz="0" w:space="0" w:color="auto"/>
        <w:right w:val="none" w:sz="0" w:space="0" w:color="auto"/>
      </w:divBdr>
    </w:div>
    <w:div w:id="646713374">
      <w:bodyDiv w:val="1"/>
      <w:marLeft w:val="0"/>
      <w:marRight w:val="0"/>
      <w:marTop w:val="0"/>
      <w:marBottom w:val="0"/>
      <w:divBdr>
        <w:top w:val="none" w:sz="0" w:space="0" w:color="auto"/>
        <w:left w:val="none" w:sz="0" w:space="0" w:color="auto"/>
        <w:bottom w:val="none" w:sz="0" w:space="0" w:color="auto"/>
        <w:right w:val="none" w:sz="0" w:space="0" w:color="auto"/>
      </w:divBdr>
    </w:div>
    <w:div w:id="651179885">
      <w:bodyDiv w:val="1"/>
      <w:marLeft w:val="0"/>
      <w:marRight w:val="0"/>
      <w:marTop w:val="0"/>
      <w:marBottom w:val="0"/>
      <w:divBdr>
        <w:top w:val="none" w:sz="0" w:space="0" w:color="auto"/>
        <w:left w:val="none" w:sz="0" w:space="0" w:color="auto"/>
        <w:bottom w:val="none" w:sz="0" w:space="0" w:color="auto"/>
        <w:right w:val="none" w:sz="0" w:space="0" w:color="auto"/>
      </w:divBdr>
    </w:div>
    <w:div w:id="653534911">
      <w:bodyDiv w:val="1"/>
      <w:marLeft w:val="0"/>
      <w:marRight w:val="0"/>
      <w:marTop w:val="0"/>
      <w:marBottom w:val="0"/>
      <w:divBdr>
        <w:top w:val="none" w:sz="0" w:space="0" w:color="auto"/>
        <w:left w:val="none" w:sz="0" w:space="0" w:color="auto"/>
        <w:bottom w:val="none" w:sz="0" w:space="0" w:color="auto"/>
        <w:right w:val="none" w:sz="0" w:space="0" w:color="auto"/>
      </w:divBdr>
    </w:div>
    <w:div w:id="661467387">
      <w:bodyDiv w:val="1"/>
      <w:marLeft w:val="0"/>
      <w:marRight w:val="0"/>
      <w:marTop w:val="0"/>
      <w:marBottom w:val="0"/>
      <w:divBdr>
        <w:top w:val="none" w:sz="0" w:space="0" w:color="auto"/>
        <w:left w:val="none" w:sz="0" w:space="0" w:color="auto"/>
        <w:bottom w:val="none" w:sz="0" w:space="0" w:color="auto"/>
        <w:right w:val="none" w:sz="0" w:space="0" w:color="auto"/>
      </w:divBdr>
    </w:div>
    <w:div w:id="712580170">
      <w:bodyDiv w:val="1"/>
      <w:marLeft w:val="0"/>
      <w:marRight w:val="0"/>
      <w:marTop w:val="0"/>
      <w:marBottom w:val="0"/>
      <w:divBdr>
        <w:top w:val="none" w:sz="0" w:space="0" w:color="auto"/>
        <w:left w:val="none" w:sz="0" w:space="0" w:color="auto"/>
        <w:bottom w:val="none" w:sz="0" w:space="0" w:color="auto"/>
        <w:right w:val="none" w:sz="0" w:space="0" w:color="auto"/>
      </w:divBdr>
    </w:div>
    <w:div w:id="713776659">
      <w:bodyDiv w:val="1"/>
      <w:marLeft w:val="0"/>
      <w:marRight w:val="0"/>
      <w:marTop w:val="0"/>
      <w:marBottom w:val="0"/>
      <w:divBdr>
        <w:top w:val="none" w:sz="0" w:space="0" w:color="auto"/>
        <w:left w:val="none" w:sz="0" w:space="0" w:color="auto"/>
        <w:bottom w:val="none" w:sz="0" w:space="0" w:color="auto"/>
        <w:right w:val="none" w:sz="0" w:space="0" w:color="auto"/>
      </w:divBdr>
    </w:div>
    <w:div w:id="715659169">
      <w:bodyDiv w:val="1"/>
      <w:marLeft w:val="0"/>
      <w:marRight w:val="0"/>
      <w:marTop w:val="0"/>
      <w:marBottom w:val="0"/>
      <w:divBdr>
        <w:top w:val="none" w:sz="0" w:space="0" w:color="auto"/>
        <w:left w:val="none" w:sz="0" w:space="0" w:color="auto"/>
        <w:bottom w:val="none" w:sz="0" w:space="0" w:color="auto"/>
        <w:right w:val="none" w:sz="0" w:space="0" w:color="auto"/>
      </w:divBdr>
    </w:div>
    <w:div w:id="734085837">
      <w:bodyDiv w:val="1"/>
      <w:marLeft w:val="0"/>
      <w:marRight w:val="0"/>
      <w:marTop w:val="0"/>
      <w:marBottom w:val="0"/>
      <w:divBdr>
        <w:top w:val="none" w:sz="0" w:space="0" w:color="auto"/>
        <w:left w:val="none" w:sz="0" w:space="0" w:color="auto"/>
        <w:bottom w:val="none" w:sz="0" w:space="0" w:color="auto"/>
        <w:right w:val="none" w:sz="0" w:space="0" w:color="auto"/>
      </w:divBdr>
      <w:divsChild>
        <w:div w:id="1579053265">
          <w:marLeft w:val="1267"/>
          <w:marRight w:val="0"/>
          <w:marTop w:val="180"/>
          <w:marBottom w:val="0"/>
          <w:divBdr>
            <w:top w:val="none" w:sz="0" w:space="0" w:color="auto"/>
            <w:left w:val="none" w:sz="0" w:space="0" w:color="auto"/>
            <w:bottom w:val="none" w:sz="0" w:space="0" w:color="auto"/>
            <w:right w:val="none" w:sz="0" w:space="0" w:color="auto"/>
          </w:divBdr>
        </w:div>
      </w:divsChild>
    </w:div>
    <w:div w:id="739328215">
      <w:bodyDiv w:val="1"/>
      <w:marLeft w:val="0"/>
      <w:marRight w:val="0"/>
      <w:marTop w:val="0"/>
      <w:marBottom w:val="0"/>
      <w:divBdr>
        <w:top w:val="none" w:sz="0" w:space="0" w:color="auto"/>
        <w:left w:val="none" w:sz="0" w:space="0" w:color="auto"/>
        <w:bottom w:val="none" w:sz="0" w:space="0" w:color="auto"/>
        <w:right w:val="none" w:sz="0" w:space="0" w:color="auto"/>
      </w:divBdr>
    </w:div>
    <w:div w:id="744105632">
      <w:bodyDiv w:val="1"/>
      <w:marLeft w:val="0"/>
      <w:marRight w:val="0"/>
      <w:marTop w:val="0"/>
      <w:marBottom w:val="0"/>
      <w:divBdr>
        <w:top w:val="none" w:sz="0" w:space="0" w:color="auto"/>
        <w:left w:val="none" w:sz="0" w:space="0" w:color="auto"/>
        <w:bottom w:val="none" w:sz="0" w:space="0" w:color="auto"/>
        <w:right w:val="none" w:sz="0" w:space="0" w:color="auto"/>
      </w:divBdr>
    </w:div>
    <w:div w:id="744842006">
      <w:bodyDiv w:val="1"/>
      <w:marLeft w:val="0"/>
      <w:marRight w:val="0"/>
      <w:marTop w:val="0"/>
      <w:marBottom w:val="0"/>
      <w:divBdr>
        <w:top w:val="none" w:sz="0" w:space="0" w:color="auto"/>
        <w:left w:val="none" w:sz="0" w:space="0" w:color="auto"/>
        <w:bottom w:val="none" w:sz="0" w:space="0" w:color="auto"/>
        <w:right w:val="none" w:sz="0" w:space="0" w:color="auto"/>
      </w:divBdr>
    </w:div>
    <w:div w:id="745566427">
      <w:bodyDiv w:val="1"/>
      <w:marLeft w:val="0"/>
      <w:marRight w:val="0"/>
      <w:marTop w:val="0"/>
      <w:marBottom w:val="0"/>
      <w:divBdr>
        <w:top w:val="none" w:sz="0" w:space="0" w:color="auto"/>
        <w:left w:val="none" w:sz="0" w:space="0" w:color="auto"/>
        <w:bottom w:val="none" w:sz="0" w:space="0" w:color="auto"/>
        <w:right w:val="none" w:sz="0" w:space="0" w:color="auto"/>
      </w:divBdr>
    </w:div>
    <w:div w:id="752355274">
      <w:bodyDiv w:val="1"/>
      <w:marLeft w:val="0"/>
      <w:marRight w:val="0"/>
      <w:marTop w:val="0"/>
      <w:marBottom w:val="0"/>
      <w:divBdr>
        <w:top w:val="none" w:sz="0" w:space="0" w:color="auto"/>
        <w:left w:val="none" w:sz="0" w:space="0" w:color="auto"/>
        <w:bottom w:val="none" w:sz="0" w:space="0" w:color="auto"/>
        <w:right w:val="none" w:sz="0" w:space="0" w:color="auto"/>
      </w:divBdr>
    </w:div>
    <w:div w:id="787239830">
      <w:bodyDiv w:val="1"/>
      <w:marLeft w:val="0"/>
      <w:marRight w:val="0"/>
      <w:marTop w:val="0"/>
      <w:marBottom w:val="0"/>
      <w:divBdr>
        <w:top w:val="none" w:sz="0" w:space="0" w:color="auto"/>
        <w:left w:val="none" w:sz="0" w:space="0" w:color="auto"/>
        <w:bottom w:val="none" w:sz="0" w:space="0" w:color="auto"/>
        <w:right w:val="none" w:sz="0" w:space="0" w:color="auto"/>
      </w:divBdr>
    </w:div>
    <w:div w:id="820191762">
      <w:bodyDiv w:val="1"/>
      <w:marLeft w:val="0"/>
      <w:marRight w:val="0"/>
      <w:marTop w:val="0"/>
      <w:marBottom w:val="0"/>
      <w:divBdr>
        <w:top w:val="none" w:sz="0" w:space="0" w:color="auto"/>
        <w:left w:val="none" w:sz="0" w:space="0" w:color="auto"/>
        <w:bottom w:val="none" w:sz="0" w:space="0" w:color="auto"/>
        <w:right w:val="none" w:sz="0" w:space="0" w:color="auto"/>
      </w:divBdr>
    </w:div>
    <w:div w:id="822161430">
      <w:bodyDiv w:val="1"/>
      <w:marLeft w:val="0"/>
      <w:marRight w:val="0"/>
      <w:marTop w:val="0"/>
      <w:marBottom w:val="0"/>
      <w:divBdr>
        <w:top w:val="none" w:sz="0" w:space="0" w:color="auto"/>
        <w:left w:val="none" w:sz="0" w:space="0" w:color="auto"/>
        <w:bottom w:val="none" w:sz="0" w:space="0" w:color="auto"/>
        <w:right w:val="none" w:sz="0" w:space="0" w:color="auto"/>
      </w:divBdr>
    </w:div>
    <w:div w:id="824277798">
      <w:bodyDiv w:val="1"/>
      <w:marLeft w:val="0"/>
      <w:marRight w:val="0"/>
      <w:marTop w:val="0"/>
      <w:marBottom w:val="0"/>
      <w:divBdr>
        <w:top w:val="none" w:sz="0" w:space="0" w:color="auto"/>
        <w:left w:val="none" w:sz="0" w:space="0" w:color="auto"/>
        <w:bottom w:val="none" w:sz="0" w:space="0" w:color="auto"/>
        <w:right w:val="none" w:sz="0" w:space="0" w:color="auto"/>
      </w:divBdr>
    </w:div>
    <w:div w:id="835264305">
      <w:bodyDiv w:val="1"/>
      <w:marLeft w:val="0"/>
      <w:marRight w:val="0"/>
      <w:marTop w:val="0"/>
      <w:marBottom w:val="0"/>
      <w:divBdr>
        <w:top w:val="none" w:sz="0" w:space="0" w:color="auto"/>
        <w:left w:val="none" w:sz="0" w:space="0" w:color="auto"/>
        <w:bottom w:val="none" w:sz="0" w:space="0" w:color="auto"/>
        <w:right w:val="none" w:sz="0" w:space="0" w:color="auto"/>
      </w:divBdr>
    </w:div>
    <w:div w:id="837421163">
      <w:bodyDiv w:val="1"/>
      <w:marLeft w:val="0"/>
      <w:marRight w:val="0"/>
      <w:marTop w:val="0"/>
      <w:marBottom w:val="0"/>
      <w:divBdr>
        <w:top w:val="none" w:sz="0" w:space="0" w:color="auto"/>
        <w:left w:val="none" w:sz="0" w:space="0" w:color="auto"/>
        <w:bottom w:val="none" w:sz="0" w:space="0" w:color="auto"/>
        <w:right w:val="none" w:sz="0" w:space="0" w:color="auto"/>
      </w:divBdr>
    </w:div>
    <w:div w:id="841435434">
      <w:bodyDiv w:val="1"/>
      <w:marLeft w:val="0"/>
      <w:marRight w:val="0"/>
      <w:marTop w:val="0"/>
      <w:marBottom w:val="0"/>
      <w:divBdr>
        <w:top w:val="none" w:sz="0" w:space="0" w:color="auto"/>
        <w:left w:val="none" w:sz="0" w:space="0" w:color="auto"/>
        <w:bottom w:val="none" w:sz="0" w:space="0" w:color="auto"/>
        <w:right w:val="none" w:sz="0" w:space="0" w:color="auto"/>
      </w:divBdr>
    </w:div>
    <w:div w:id="845829290">
      <w:bodyDiv w:val="1"/>
      <w:marLeft w:val="0"/>
      <w:marRight w:val="0"/>
      <w:marTop w:val="0"/>
      <w:marBottom w:val="0"/>
      <w:divBdr>
        <w:top w:val="none" w:sz="0" w:space="0" w:color="auto"/>
        <w:left w:val="none" w:sz="0" w:space="0" w:color="auto"/>
        <w:bottom w:val="none" w:sz="0" w:space="0" w:color="auto"/>
        <w:right w:val="none" w:sz="0" w:space="0" w:color="auto"/>
      </w:divBdr>
    </w:div>
    <w:div w:id="855002407">
      <w:bodyDiv w:val="1"/>
      <w:marLeft w:val="0"/>
      <w:marRight w:val="0"/>
      <w:marTop w:val="0"/>
      <w:marBottom w:val="0"/>
      <w:divBdr>
        <w:top w:val="none" w:sz="0" w:space="0" w:color="auto"/>
        <w:left w:val="none" w:sz="0" w:space="0" w:color="auto"/>
        <w:bottom w:val="none" w:sz="0" w:space="0" w:color="auto"/>
        <w:right w:val="none" w:sz="0" w:space="0" w:color="auto"/>
      </w:divBdr>
    </w:div>
    <w:div w:id="866060170">
      <w:bodyDiv w:val="1"/>
      <w:marLeft w:val="0"/>
      <w:marRight w:val="0"/>
      <w:marTop w:val="0"/>
      <w:marBottom w:val="0"/>
      <w:divBdr>
        <w:top w:val="none" w:sz="0" w:space="0" w:color="auto"/>
        <w:left w:val="none" w:sz="0" w:space="0" w:color="auto"/>
        <w:bottom w:val="none" w:sz="0" w:space="0" w:color="auto"/>
        <w:right w:val="none" w:sz="0" w:space="0" w:color="auto"/>
      </w:divBdr>
    </w:div>
    <w:div w:id="871649984">
      <w:bodyDiv w:val="1"/>
      <w:marLeft w:val="0"/>
      <w:marRight w:val="0"/>
      <w:marTop w:val="0"/>
      <w:marBottom w:val="0"/>
      <w:divBdr>
        <w:top w:val="none" w:sz="0" w:space="0" w:color="auto"/>
        <w:left w:val="none" w:sz="0" w:space="0" w:color="auto"/>
        <w:bottom w:val="none" w:sz="0" w:space="0" w:color="auto"/>
        <w:right w:val="none" w:sz="0" w:space="0" w:color="auto"/>
      </w:divBdr>
    </w:div>
    <w:div w:id="886799252">
      <w:bodyDiv w:val="1"/>
      <w:marLeft w:val="0"/>
      <w:marRight w:val="0"/>
      <w:marTop w:val="0"/>
      <w:marBottom w:val="0"/>
      <w:divBdr>
        <w:top w:val="none" w:sz="0" w:space="0" w:color="auto"/>
        <w:left w:val="none" w:sz="0" w:space="0" w:color="auto"/>
        <w:bottom w:val="none" w:sz="0" w:space="0" w:color="auto"/>
        <w:right w:val="none" w:sz="0" w:space="0" w:color="auto"/>
      </w:divBdr>
    </w:div>
    <w:div w:id="887913141">
      <w:bodyDiv w:val="1"/>
      <w:marLeft w:val="0"/>
      <w:marRight w:val="0"/>
      <w:marTop w:val="0"/>
      <w:marBottom w:val="0"/>
      <w:divBdr>
        <w:top w:val="none" w:sz="0" w:space="0" w:color="auto"/>
        <w:left w:val="none" w:sz="0" w:space="0" w:color="auto"/>
        <w:bottom w:val="none" w:sz="0" w:space="0" w:color="auto"/>
        <w:right w:val="none" w:sz="0" w:space="0" w:color="auto"/>
      </w:divBdr>
    </w:div>
    <w:div w:id="889223386">
      <w:bodyDiv w:val="1"/>
      <w:marLeft w:val="0"/>
      <w:marRight w:val="0"/>
      <w:marTop w:val="0"/>
      <w:marBottom w:val="0"/>
      <w:divBdr>
        <w:top w:val="none" w:sz="0" w:space="0" w:color="auto"/>
        <w:left w:val="none" w:sz="0" w:space="0" w:color="auto"/>
        <w:bottom w:val="none" w:sz="0" w:space="0" w:color="auto"/>
        <w:right w:val="none" w:sz="0" w:space="0" w:color="auto"/>
      </w:divBdr>
    </w:div>
    <w:div w:id="893271028">
      <w:bodyDiv w:val="1"/>
      <w:marLeft w:val="0"/>
      <w:marRight w:val="0"/>
      <w:marTop w:val="0"/>
      <w:marBottom w:val="0"/>
      <w:divBdr>
        <w:top w:val="none" w:sz="0" w:space="0" w:color="auto"/>
        <w:left w:val="none" w:sz="0" w:space="0" w:color="auto"/>
        <w:bottom w:val="none" w:sz="0" w:space="0" w:color="auto"/>
        <w:right w:val="none" w:sz="0" w:space="0" w:color="auto"/>
      </w:divBdr>
    </w:div>
    <w:div w:id="894585507">
      <w:bodyDiv w:val="1"/>
      <w:marLeft w:val="0"/>
      <w:marRight w:val="0"/>
      <w:marTop w:val="0"/>
      <w:marBottom w:val="0"/>
      <w:divBdr>
        <w:top w:val="none" w:sz="0" w:space="0" w:color="auto"/>
        <w:left w:val="none" w:sz="0" w:space="0" w:color="auto"/>
        <w:bottom w:val="none" w:sz="0" w:space="0" w:color="auto"/>
        <w:right w:val="none" w:sz="0" w:space="0" w:color="auto"/>
      </w:divBdr>
    </w:div>
    <w:div w:id="916867488">
      <w:bodyDiv w:val="1"/>
      <w:marLeft w:val="0"/>
      <w:marRight w:val="0"/>
      <w:marTop w:val="0"/>
      <w:marBottom w:val="0"/>
      <w:divBdr>
        <w:top w:val="none" w:sz="0" w:space="0" w:color="auto"/>
        <w:left w:val="none" w:sz="0" w:space="0" w:color="auto"/>
        <w:bottom w:val="none" w:sz="0" w:space="0" w:color="auto"/>
        <w:right w:val="none" w:sz="0" w:space="0" w:color="auto"/>
      </w:divBdr>
    </w:div>
    <w:div w:id="918490414">
      <w:bodyDiv w:val="1"/>
      <w:marLeft w:val="0"/>
      <w:marRight w:val="0"/>
      <w:marTop w:val="0"/>
      <w:marBottom w:val="0"/>
      <w:divBdr>
        <w:top w:val="none" w:sz="0" w:space="0" w:color="auto"/>
        <w:left w:val="none" w:sz="0" w:space="0" w:color="auto"/>
        <w:bottom w:val="none" w:sz="0" w:space="0" w:color="auto"/>
        <w:right w:val="none" w:sz="0" w:space="0" w:color="auto"/>
      </w:divBdr>
      <w:divsChild>
        <w:div w:id="2118483581">
          <w:marLeft w:val="1267"/>
          <w:marRight w:val="0"/>
          <w:marTop w:val="180"/>
          <w:marBottom w:val="0"/>
          <w:divBdr>
            <w:top w:val="none" w:sz="0" w:space="0" w:color="auto"/>
            <w:left w:val="none" w:sz="0" w:space="0" w:color="auto"/>
            <w:bottom w:val="none" w:sz="0" w:space="0" w:color="auto"/>
            <w:right w:val="none" w:sz="0" w:space="0" w:color="auto"/>
          </w:divBdr>
        </w:div>
      </w:divsChild>
    </w:div>
    <w:div w:id="919293796">
      <w:bodyDiv w:val="1"/>
      <w:marLeft w:val="0"/>
      <w:marRight w:val="0"/>
      <w:marTop w:val="0"/>
      <w:marBottom w:val="0"/>
      <w:divBdr>
        <w:top w:val="none" w:sz="0" w:space="0" w:color="auto"/>
        <w:left w:val="none" w:sz="0" w:space="0" w:color="auto"/>
        <w:bottom w:val="none" w:sz="0" w:space="0" w:color="auto"/>
        <w:right w:val="none" w:sz="0" w:space="0" w:color="auto"/>
      </w:divBdr>
    </w:div>
    <w:div w:id="919870056">
      <w:bodyDiv w:val="1"/>
      <w:marLeft w:val="0"/>
      <w:marRight w:val="0"/>
      <w:marTop w:val="0"/>
      <w:marBottom w:val="0"/>
      <w:divBdr>
        <w:top w:val="none" w:sz="0" w:space="0" w:color="auto"/>
        <w:left w:val="none" w:sz="0" w:space="0" w:color="auto"/>
        <w:bottom w:val="none" w:sz="0" w:space="0" w:color="auto"/>
        <w:right w:val="none" w:sz="0" w:space="0" w:color="auto"/>
      </w:divBdr>
    </w:div>
    <w:div w:id="934094736">
      <w:bodyDiv w:val="1"/>
      <w:marLeft w:val="0"/>
      <w:marRight w:val="0"/>
      <w:marTop w:val="0"/>
      <w:marBottom w:val="0"/>
      <w:divBdr>
        <w:top w:val="none" w:sz="0" w:space="0" w:color="auto"/>
        <w:left w:val="none" w:sz="0" w:space="0" w:color="auto"/>
        <w:bottom w:val="none" w:sz="0" w:space="0" w:color="auto"/>
        <w:right w:val="none" w:sz="0" w:space="0" w:color="auto"/>
      </w:divBdr>
    </w:div>
    <w:div w:id="937103370">
      <w:bodyDiv w:val="1"/>
      <w:marLeft w:val="0"/>
      <w:marRight w:val="0"/>
      <w:marTop w:val="0"/>
      <w:marBottom w:val="0"/>
      <w:divBdr>
        <w:top w:val="none" w:sz="0" w:space="0" w:color="auto"/>
        <w:left w:val="none" w:sz="0" w:space="0" w:color="auto"/>
        <w:bottom w:val="none" w:sz="0" w:space="0" w:color="auto"/>
        <w:right w:val="none" w:sz="0" w:space="0" w:color="auto"/>
      </w:divBdr>
    </w:div>
    <w:div w:id="946810218">
      <w:bodyDiv w:val="1"/>
      <w:marLeft w:val="0"/>
      <w:marRight w:val="0"/>
      <w:marTop w:val="0"/>
      <w:marBottom w:val="0"/>
      <w:divBdr>
        <w:top w:val="none" w:sz="0" w:space="0" w:color="auto"/>
        <w:left w:val="none" w:sz="0" w:space="0" w:color="auto"/>
        <w:bottom w:val="none" w:sz="0" w:space="0" w:color="auto"/>
        <w:right w:val="none" w:sz="0" w:space="0" w:color="auto"/>
      </w:divBdr>
    </w:div>
    <w:div w:id="949162812">
      <w:bodyDiv w:val="1"/>
      <w:marLeft w:val="0"/>
      <w:marRight w:val="0"/>
      <w:marTop w:val="0"/>
      <w:marBottom w:val="0"/>
      <w:divBdr>
        <w:top w:val="none" w:sz="0" w:space="0" w:color="auto"/>
        <w:left w:val="none" w:sz="0" w:space="0" w:color="auto"/>
        <w:bottom w:val="none" w:sz="0" w:space="0" w:color="auto"/>
        <w:right w:val="none" w:sz="0" w:space="0" w:color="auto"/>
      </w:divBdr>
    </w:div>
    <w:div w:id="950359936">
      <w:bodyDiv w:val="1"/>
      <w:marLeft w:val="0"/>
      <w:marRight w:val="0"/>
      <w:marTop w:val="0"/>
      <w:marBottom w:val="0"/>
      <w:divBdr>
        <w:top w:val="none" w:sz="0" w:space="0" w:color="auto"/>
        <w:left w:val="none" w:sz="0" w:space="0" w:color="auto"/>
        <w:bottom w:val="none" w:sz="0" w:space="0" w:color="auto"/>
        <w:right w:val="none" w:sz="0" w:space="0" w:color="auto"/>
      </w:divBdr>
    </w:div>
    <w:div w:id="951977167">
      <w:bodyDiv w:val="1"/>
      <w:marLeft w:val="0"/>
      <w:marRight w:val="0"/>
      <w:marTop w:val="0"/>
      <w:marBottom w:val="0"/>
      <w:divBdr>
        <w:top w:val="none" w:sz="0" w:space="0" w:color="auto"/>
        <w:left w:val="none" w:sz="0" w:space="0" w:color="auto"/>
        <w:bottom w:val="none" w:sz="0" w:space="0" w:color="auto"/>
        <w:right w:val="none" w:sz="0" w:space="0" w:color="auto"/>
      </w:divBdr>
    </w:div>
    <w:div w:id="952174841">
      <w:bodyDiv w:val="1"/>
      <w:marLeft w:val="0"/>
      <w:marRight w:val="0"/>
      <w:marTop w:val="0"/>
      <w:marBottom w:val="0"/>
      <w:divBdr>
        <w:top w:val="none" w:sz="0" w:space="0" w:color="auto"/>
        <w:left w:val="none" w:sz="0" w:space="0" w:color="auto"/>
        <w:bottom w:val="none" w:sz="0" w:space="0" w:color="auto"/>
        <w:right w:val="none" w:sz="0" w:space="0" w:color="auto"/>
      </w:divBdr>
    </w:div>
    <w:div w:id="960191419">
      <w:bodyDiv w:val="1"/>
      <w:marLeft w:val="0"/>
      <w:marRight w:val="0"/>
      <w:marTop w:val="0"/>
      <w:marBottom w:val="0"/>
      <w:divBdr>
        <w:top w:val="none" w:sz="0" w:space="0" w:color="auto"/>
        <w:left w:val="none" w:sz="0" w:space="0" w:color="auto"/>
        <w:bottom w:val="none" w:sz="0" w:space="0" w:color="auto"/>
        <w:right w:val="none" w:sz="0" w:space="0" w:color="auto"/>
      </w:divBdr>
    </w:div>
    <w:div w:id="961349657">
      <w:bodyDiv w:val="1"/>
      <w:marLeft w:val="0"/>
      <w:marRight w:val="0"/>
      <w:marTop w:val="0"/>
      <w:marBottom w:val="0"/>
      <w:divBdr>
        <w:top w:val="none" w:sz="0" w:space="0" w:color="auto"/>
        <w:left w:val="none" w:sz="0" w:space="0" w:color="auto"/>
        <w:bottom w:val="none" w:sz="0" w:space="0" w:color="auto"/>
        <w:right w:val="none" w:sz="0" w:space="0" w:color="auto"/>
      </w:divBdr>
    </w:div>
    <w:div w:id="970405900">
      <w:bodyDiv w:val="1"/>
      <w:marLeft w:val="0"/>
      <w:marRight w:val="0"/>
      <w:marTop w:val="0"/>
      <w:marBottom w:val="0"/>
      <w:divBdr>
        <w:top w:val="none" w:sz="0" w:space="0" w:color="auto"/>
        <w:left w:val="none" w:sz="0" w:space="0" w:color="auto"/>
        <w:bottom w:val="none" w:sz="0" w:space="0" w:color="auto"/>
        <w:right w:val="none" w:sz="0" w:space="0" w:color="auto"/>
      </w:divBdr>
    </w:div>
    <w:div w:id="976181775">
      <w:bodyDiv w:val="1"/>
      <w:marLeft w:val="0"/>
      <w:marRight w:val="0"/>
      <w:marTop w:val="0"/>
      <w:marBottom w:val="0"/>
      <w:divBdr>
        <w:top w:val="none" w:sz="0" w:space="0" w:color="auto"/>
        <w:left w:val="none" w:sz="0" w:space="0" w:color="auto"/>
        <w:bottom w:val="none" w:sz="0" w:space="0" w:color="auto"/>
        <w:right w:val="none" w:sz="0" w:space="0" w:color="auto"/>
      </w:divBdr>
    </w:div>
    <w:div w:id="977536177">
      <w:bodyDiv w:val="1"/>
      <w:marLeft w:val="0"/>
      <w:marRight w:val="0"/>
      <w:marTop w:val="0"/>
      <w:marBottom w:val="0"/>
      <w:divBdr>
        <w:top w:val="none" w:sz="0" w:space="0" w:color="auto"/>
        <w:left w:val="none" w:sz="0" w:space="0" w:color="auto"/>
        <w:bottom w:val="none" w:sz="0" w:space="0" w:color="auto"/>
        <w:right w:val="none" w:sz="0" w:space="0" w:color="auto"/>
      </w:divBdr>
    </w:div>
    <w:div w:id="989602861">
      <w:bodyDiv w:val="1"/>
      <w:marLeft w:val="0"/>
      <w:marRight w:val="0"/>
      <w:marTop w:val="0"/>
      <w:marBottom w:val="0"/>
      <w:divBdr>
        <w:top w:val="none" w:sz="0" w:space="0" w:color="auto"/>
        <w:left w:val="none" w:sz="0" w:space="0" w:color="auto"/>
        <w:bottom w:val="none" w:sz="0" w:space="0" w:color="auto"/>
        <w:right w:val="none" w:sz="0" w:space="0" w:color="auto"/>
      </w:divBdr>
    </w:div>
    <w:div w:id="989794978">
      <w:bodyDiv w:val="1"/>
      <w:marLeft w:val="0"/>
      <w:marRight w:val="0"/>
      <w:marTop w:val="0"/>
      <w:marBottom w:val="0"/>
      <w:divBdr>
        <w:top w:val="none" w:sz="0" w:space="0" w:color="auto"/>
        <w:left w:val="none" w:sz="0" w:space="0" w:color="auto"/>
        <w:bottom w:val="none" w:sz="0" w:space="0" w:color="auto"/>
        <w:right w:val="none" w:sz="0" w:space="0" w:color="auto"/>
      </w:divBdr>
    </w:div>
    <w:div w:id="990795813">
      <w:bodyDiv w:val="1"/>
      <w:marLeft w:val="0"/>
      <w:marRight w:val="0"/>
      <w:marTop w:val="0"/>
      <w:marBottom w:val="0"/>
      <w:divBdr>
        <w:top w:val="none" w:sz="0" w:space="0" w:color="auto"/>
        <w:left w:val="none" w:sz="0" w:space="0" w:color="auto"/>
        <w:bottom w:val="none" w:sz="0" w:space="0" w:color="auto"/>
        <w:right w:val="none" w:sz="0" w:space="0" w:color="auto"/>
      </w:divBdr>
    </w:div>
    <w:div w:id="992947718">
      <w:bodyDiv w:val="1"/>
      <w:marLeft w:val="0"/>
      <w:marRight w:val="0"/>
      <w:marTop w:val="0"/>
      <w:marBottom w:val="0"/>
      <w:divBdr>
        <w:top w:val="none" w:sz="0" w:space="0" w:color="auto"/>
        <w:left w:val="none" w:sz="0" w:space="0" w:color="auto"/>
        <w:bottom w:val="none" w:sz="0" w:space="0" w:color="auto"/>
        <w:right w:val="none" w:sz="0" w:space="0" w:color="auto"/>
      </w:divBdr>
    </w:div>
    <w:div w:id="995382112">
      <w:bodyDiv w:val="1"/>
      <w:marLeft w:val="0"/>
      <w:marRight w:val="0"/>
      <w:marTop w:val="0"/>
      <w:marBottom w:val="0"/>
      <w:divBdr>
        <w:top w:val="none" w:sz="0" w:space="0" w:color="auto"/>
        <w:left w:val="none" w:sz="0" w:space="0" w:color="auto"/>
        <w:bottom w:val="none" w:sz="0" w:space="0" w:color="auto"/>
        <w:right w:val="none" w:sz="0" w:space="0" w:color="auto"/>
      </w:divBdr>
    </w:div>
    <w:div w:id="1000616742">
      <w:bodyDiv w:val="1"/>
      <w:marLeft w:val="0"/>
      <w:marRight w:val="0"/>
      <w:marTop w:val="0"/>
      <w:marBottom w:val="0"/>
      <w:divBdr>
        <w:top w:val="none" w:sz="0" w:space="0" w:color="auto"/>
        <w:left w:val="none" w:sz="0" w:space="0" w:color="auto"/>
        <w:bottom w:val="none" w:sz="0" w:space="0" w:color="auto"/>
        <w:right w:val="none" w:sz="0" w:space="0" w:color="auto"/>
      </w:divBdr>
    </w:div>
    <w:div w:id="1007288957">
      <w:bodyDiv w:val="1"/>
      <w:marLeft w:val="0"/>
      <w:marRight w:val="0"/>
      <w:marTop w:val="0"/>
      <w:marBottom w:val="0"/>
      <w:divBdr>
        <w:top w:val="none" w:sz="0" w:space="0" w:color="auto"/>
        <w:left w:val="none" w:sz="0" w:space="0" w:color="auto"/>
        <w:bottom w:val="none" w:sz="0" w:space="0" w:color="auto"/>
        <w:right w:val="none" w:sz="0" w:space="0" w:color="auto"/>
      </w:divBdr>
    </w:div>
    <w:div w:id="1026909276">
      <w:bodyDiv w:val="1"/>
      <w:marLeft w:val="0"/>
      <w:marRight w:val="0"/>
      <w:marTop w:val="0"/>
      <w:marBottom w:val="0"/>
      <w:divBdr>
        <w:top w:val="none" w:sz="0" w:space="0" w:color="auto"/>
        <w:left w:val="none" w:sz="0" w:space="0" w:color="auto"/>
        <w:bottom w:val="none" w:sz="0" w:space="0" w:color="auto"/>
        <w:right w:val="none" w:sz="0" w:space="0" w:color="auto"/>
      </w:divBdr>
    </w:div>
    <w:div w:id="1027171904">
      <w:bodyDiv w:val="1"/>
      <w:marLeft w:val="0"/>
      <w:marRight w:val="0"/>
      <w:marTop w:val="0"/>
      <w:marBottom w:val="0"/>
      <w:divBdr>
        <w:top w:val="none" w:sz="0" w:space="0" w:color="auto"/>
        <w:left w:val="none" w:sz="0" w:space="0" w:color="auto"/>
        <w:bottom w:val="none" w:sz="0" w:space="0" w:color="auto"/>
        <w:right w:val="none" w:sz="0" w:space="0" w:color="auto"/>
      </w:divBdr>
    </w:div>
    <w:div w:id="1030960507">
      <w:bodyDiv w:val="1"/>
      <w:marLeft w:val="0"/>
      <w:marRight w:val="0"/>
      <w:marTop w:val="0"/>
      <w:marBottom w:val="0"/>
      <w:divBdr>
        <w:top w:val="none" w:sz="0" w:space="0" w:color="auto"/>
        <w:left w:val="none" w:sz="0" w:space="0" w:color="auto"/>
        <w:bottom w:val="none" w:sz="0" w:space="0" w:color="auto"/>
        <w:right w:val="none" w:sz="0" w:space="0" w:color="auto"/>
      </w:divBdr>
    </w:div>
    <w:div w:id="1035273348">
      <w:bodyDiv w:val="1"/>
      <w:marLeft w:val="0"/>
      <w:marRight w:val="0"/>
      <w:marTop w:val="0"/>
      <w:marBottom w:val="0"/>
      <w:divBdr>
        <w:top w:val="none" w:sz="0" w:space="0" w:color="auto"/>
        <w:left w:val="none" w:sz="0" w:space="0" w:color="auto"/>
        <w:bottom w:val="none" w:sz="0" w:space="0" w:color="auto"/>
        <w:right w:val="none" w:sz="0" w:space="0" w:color="auto"/>
      </w:divBdr>
    </w:div>
    <w:div w:id="1039670204">
      <w:bodyDiv w:val="1"/>
      <w:marLeft w:val="0"/>
      <w:marRight w:val="0"/>
      <w:marTop w:val="0"/>
      <w:marBottom w:val="0"/>
      <w:divBdr>
        <w:top w:val="none" w:sz="0" w:space="0" w:color="auto"/>
        <w:left w:val="none" w:sz="0" w:space="0" w:color="auto"/>
        <w:bottom w:val="none" w:sz="0" w:space="0" w:color="auto"/>
        <w:right w:val="none" w:sz="0" w:space="0" w:color="auto"/>
      </w:divBdr>
    </w:div>
    <w:div w:id="1046444592">
      <w:bodyDiv w:val="1"/>
      <w:marLeft w:val="0"/>
      <w:marRight w:val="0"/>
      <w:marTop w:val="0"/>
      <w:marBottom w:val="0"/>
      <w:divBdr>
        <w:top w:val="none" w:sz="0" w:space="0" w:color="auto"/>
        <w:left w:val="none" w:sz="0" w:space="0" w:color="auto"/>
        <w:bottom w:val="none" w:sz="0" w:space="0" w:color="auto"/>
        <w:right w:val="none" w:sz="0" w:space="0" w:color="auto"/>
      </w:divBdr>
    </w:div>
    <w:div w:id="1047148869">
      <w:bodyDiv w:val="1"/>
      <w:marLeft w:val="0"/>
      <w:marRight w:val="0"/>
      <w:marTop w:val="0"/>
      <w:marBottom w:val="0"/>
      <w:divBdr>
        <w:top w:val="none" w:sz="0" w:space="0" w:color="auto"/>
        <w:left w:val="none" w:sz="0" w:space="0" w:color="auto"/>
        <w:bottom w:val="none" w:sz="0" w:space="0" w:color="auto"/>
        <w:right w:val="none" w:sz="0" w:space="0" w:color="auto"/>
      </w:divBdr>
    </w:div>
    <w:div w:id="1061174055">
      <w:bodyDiv w:val="1"/>
      <w:marLeft w:val="0"/>
      <w:marRight w:val="0"/>
      <w:marTop w:val="0"/>
      <w:marBottom w:val="0"/>
      <w:divBdr>
        <w:top w:val="none" w:sz="0" w:space="0" w:color="auto"/>
        <w:left w:val="none" w:sz="0" w:space="0" w:color="auto"/>
        <w:bottom w:val="none" w:sz="0" w:space="0" w:color="auto"/>
        <w:right w:val="none" w:sz="0" w:space="0" w:color="auto"/>
      </w:divBdr>
    </w:div>
    <w:div w:id="1061447595">
      <w:bodyDiv w:val="1"/>
      <w:marLeft w:val="0"/>
      <w:marRight w:val="0"/>
      <w:marTop w:val="0"/>
      <w:marBottom w:val="0"/>
      <w:divBdr>
        <w:top w:val="none" w:sz="0" w:space="0" w:color="auto"/>
        <w:left w:val="none" w:sz="0" w:space="0" w:color="auto"/>
        <w:bottom w:val="none" w:sz="0" w:space="0" w:color="auto"/>
        <w:right w:val="none" w:sz="0" w:space="0" w:color="auto"/>
      </w:divBdr>
    </w:div>
    <w:div w:id="1077366167">
      <w:bodyDiv w:val="1"/>
      <w:marLeft w:val="0"/>
      <w:marRight w:val="0"/>
      <w:marTop w:val="0"/>
      <w:marBottom w:val="0"/>
      <w:divBdr>
        <w:top w:val="none" w:sz="0" w:space="0" w:color="auto"/>
        <w:left w:val="none" w:sz="0" w:space="0" w:color="auto"/>
        <w:bottom w:val="none" w:sz="0" w:space="0" w:color="auto"/>
        <w:right w:val="none" w:sz="0" w:space="0" w:color="auto"/>
      </w:divBdr>
    </w:div>
    <w:div w:id="1082096284">
      <w:bodyDiv w:val="1"/>
      <w:marLeft w:val="0"/>
      <w:marRight w:val="0"/>
      <w:marTop w:val="0"/>
      <w:marBottom w:val="0"/>
      <w:divBdr>
        <w:top w:val="none" w:sz="0" w:space="0" w:color="auto"/>
        <w:left w:val="none" w:sz="0" w:space="0" w:color="auto"/>
        <w:bottom w:val="none" w:sz="0" w:space="0" w:color="auto"/>
        <w:right w:val="none" w:sz="0" w:space="0" w:color="auto"/>
      </w:divBdr>
    </w:div>
    <w:div w:id="1083069975">
      <w:bodyDiv w:val="1"/>
      <w:marLeft w:val="0"/>
      <w:marRight w:val="0"/>
      <w:marTop w:val="0"/>
      <w:marBottom w:val="0"/>
      <w:divBdr>
        <w:top w:val="none" w:sz="0" w:space="0" w:color="auto"/>
        <w:left w:val="none" w:sz="0" w:space="0" w:color="auto"/>
        <w:bottom w:val="none" w:sz="0" w:space="0" w:color="auto"/>
        <w:right w:val="none" w:sz="0" w:space="0" w:color="auto"/>
      </w:divBdr>
    </w:div>
    <w:div w:id="1085760081">
      <w:bodyDiv w:val="1"/>
      <w:marLeft w:val="0"/>
      <w:marRight w:val="0"/>
      <w:marTop w:val="0"/>
      <w:marBottom w:val="0"/>
      <w:divBdr>
        <w:top w:val="none" w:sz="0" w:space="0" w:color="auto"/>
        <w:left w:val="none" w:sz="0" w:space="0" w:color="auto"/>
        <w:bottom w:val="none" w:sz="0" w:space="0" w:color="auto"/>
        <w:right w:val="none" w:sz="0" w:space="0" w:color="auto"/>
      </w:divBdr>
    </w:div>
    <w:div w:id="1091506488">
      <w:bodyDiv w:val="1"/>
      <w:marLeft w:val="0"/>
      <w:marRight w:val="0"/>
      <w:marTop w:val="0"/>
      <w:marBottom w:val="0"/>
      <w:divBdr>
        <w:top w:val="none" w:sz="0" w:space="0" w:color="auto"/>
        <w:left w:val="none" w:sz="0" w:space="0" w:color="auto"/>
        <w:bottom w:val="none" w:sz="0" w:space="0" w:color="auto"/>
        <w:right w:val="none" w:sz="0" w:space="0" w:color="auto"/>
      </w:divBdr>
    </w:div>
    <w:div w:id="1103920701">
      <w:bodyDiv w:val="1"/>
      <w:marLeft w:val="0"/>
      <w:marRight w:val="0"/>
      <w:marTop w:val="0"/>
      <w:marBottom w:val="0"/>
      <w:divBdr>
        <w:top w:val="none" w:sz="0" w:space="0" w:color="auto"/>
        <w:left w:val="none" w:sz="0" w:space="0" w:color="auto"/>
        <w:bottom w:val="none" w:sz="0" w:space="0" w:color="auto"/>
        <w:right w:val="none" w:sz="0" w:space="0" w:color="auto"/>
      </w:divBdr>
    </w:div>
    <w:div w:id="1105422977">
      <w:bodyDiv w:val="1"/>
      <w:marLeft w:val="0"/>
      <w:marRight w:val="0"/>
      <w:marTop w:val="0"/>
      <w:marBottom w:val="0"/>
      <w:divBdr>
        <w:top w:val="none" w:sz="0" w:space="0" w:color="auto"/>
        <w:left w:val="none" w:sz="0" w:space="0" w:color="auto"/>
        <w:bottom w:val="none" w:sz="0" w:space="0" w:color="auto"/>
        <w:right w:val="none" w:sz="0" w:space="0" w:color="auto"/>
      </w:divBdr>
    </w:div>
    <w:div w:id="1127165426">
      <w:bodyDiv w:val="1"/>
      <w:marLeft w:val="0"/>
      <w:marRight w:val="0"/>
      <w:marTop w:val="0"/>
      <w:marBottom w:val="0"/>
      <w:divBdr>
        <w:top w:val="none" w:sz="0" w:space="0" w:color="auto"/>
        <w:left w:val="none" w:sz="0" w:space="0" w:color="auto"/>
        <w:bottom w:val="none" w:sz="0" w:space="0" w:color="auto"/>
        <w:right w:val="none" w:sz="0" w:space="0" w:color="auto"/>
      </w:divBdr>
    </w:div>
    <w:div w:id="1134329170">
      <w:bodyDiv w:val="1"/>
      <w:marLeft w:val="0"/>
      <w:marRight w:val="0"/>
      <w:marTop w:val="0"/>
      <w:marBottom w:val="0"/>
      <w:divBdr>
        <w:top w:val="none" w:sz="0" w:space="0" w:color="auto"/>
        <w:left w:val="none" w:sz="0" w:space="0" w:color="auto"/>
        <w:bottom w:val="none" w:sz="0" w:space="0" w:color="auto"/>
        <w:right w:val="none" w:sz="0" w:space="0" w:color="auto"/>
      </w:divBdr>
    </w:div>
    <w:div w:id="1134757993">
      <w:bodyDiv w:val="1"/>
      <w:marLeft w:val="0"/>
      <w:marRight w:val="0"/>
      <w:marTop w:val="0"/>
      <w:marBottom w:val="0"/>
      <w:divBdr>
        <w:top w:val="none" w:sz="0" w:space="0" w:color="auto"/>
        <w:left w:val="none" w:sz="0" w:space="0" w:color="auto"/>
        <w:bottom w:val="none" w:sz="0" w:space="0" w:color="auto"/>
        <w:right w:val="none" w:sz="0" w:space="0" w:color="auto"/>
      </w:divBdr>
    </w:div>
    <w:div w:id="1152714585">
      <w:bodyDiv w:val="1"/>
      <w:marLeft w:val="0"/>
      <w:marRight w:val="0"/>
      <w:marTop w:val="0"/>
      <w:marBottom w:val="0"/>
      <w:divBdr>
        <w:top w:val="none" w:sz="0" w:space="0" w:color="auto"/>
        <w:left w:val="none" w:sz="0" w:space="0" w:color="auto"/>
        <w:bottom w:val="none" w:sz="0" w:space="0" w:color="auto"/>
        <w:right w:val="none" w:sz="0" w:space="0" w:color="auto"/>
      </w:divBdr>
    </w:div>
    <w:div w:id="1167666974">
      <w:bodyDiv w:val="1"/>
      <w:marLeft w:val="0"/>
      <w:marRight w:val="0"/>
      <w:marTop w:val="0"/>
      <w:marBottom w:val="0"/>
      <w:divBdr>
        <w:top w:val="none" w:sz="0" w:space="0" w:color="auto"/>
        <w:left w:val="none" w:sz="0" w:space="0" w:color="auto"/>
        <w:bottom w:val="none" w:sz="0" w:space="0" w:color="auto"/>
        <w:right w:val="none" w:sz="0" w:space="0" w:color="auto"/>
      </w:divBdr>
    </w:div>
    <w:div w:id="1170102091">
      <w:bodyDiv w:val="1"/>
      <w:marLeft w:val="0"/>
      <w:marRight w:val="0"/>
      <w:marTop w:val="0"/>
      <w:marBottom w:val="0"/>
      <w:divBdr>
        <w:top w:val="none" w:sz="0" w:space="0" w:color="auto"/>
        <w:left w:val="none" w:sz="0" w:space="0" w:color="auto"/>
        <w:bottom w:val="none" w:sz="0" w:space="0" w:color="auto"/>
        <w:right w:val="none" w:sz="0" w:space="0" w:color="auto"/>
      </w:divBdr>
    </w:div>
    <w:div w:id="1171336602">
      <w:bodyDiv w:val="1"/>
      <w:marLeft w:val="0"/>
      <w:marRight w:val="0"/>
      <w:marTop w:val="0"/>
      <w:marBottom w:val="0"/>
      <w:divBdr>
        <w:top w:val="none" w:sz="0" w:space="0" w:color="auto"/>
        <w:left w:val="none" w:sz="0" w:space="0" w:color="auto"/>
        <w:bottom w:val="none" w:sz="0" w:space="0" w:color="auto"/>
        <w:right w:val="none" w:sz="0" w:space="0" w:color="auto"/>
      </w:divBdr>
    </w:div>
    <w:div w:id="1188836179">
      <w:bodyDiv w:val="1"/>
      <w:marLeft w:val="0"/>
      <w:marRight w:val="0"/>
      <w:marTop w:val="0"/>
      <w:marBottom w:val="0"/>
      <w:divBdr>
        <w:top w:val="none" w:sz="0" w:space="0" w:color="auto"/>
        <w:left w:val="none" w:sz="0" w:space="0" w:color="auto"/>
        <w:bottom w:val="none" w:sz="0" w:space="0" w:color="auto"/>
        <w:right w:val="none" w:sz="0" w:space="0" w:color="auto"/>
      </w:divBdr>
    </w:div>
    <w:div w:id="1190291928">
      <w:bodyDiv w:val="1"/>
      <w:marLeft w:val="0"/>
      <w:marRight w:val="0"/>
      <w:marTop w:val="0"/>
      <w:marBottom w:val="0"/>
      <w:divBdr>
        <w:top w:val="none" w:sz="0" w:space="0" w:color="auto"/>
        <w:left w:val="none" w:sz="0" w:space="0" w:color="auto"/>
        <w:bottom w:val="none" w:sz="0" w:space="0" w:color="auto"/>
        <w:right w:val="none" w:sz="0" w:space="0" w:color="auto"/>
      </w:divBdr>
    </w:div>
    <w:div w:id="1193761830">
      <w:bodyDiv w:val="1"/>
      <w:marLeft w:val="0"/>
      <w:marRight w:val="0"/>
      <w:marTop w:val="0"/>
      <w:marBottom w:val="0"/>
      <w:divBdr>
        <w:top w:val="none" w:sz="0" w:space="0" w:color="auto"/>
        <w:left w:val="none" w:sz="0" w:space="0" w:color="auto"/>
        <w:bottom w:val="none" w:sz="0" w:space="0" w:color="auto"/>
        <w:right w:val="none" w:sz="0" w:space="0" w:color="auto"/>
      </w:divBdr>
    </w:div>
    <w:div w:id="1196694400">
      <w:bodyDiv w:val="1"/>
      <w:marLeft w:val="0"/>
      <w:marRight w:val="0"/>
      <w:marTop w:val="0"/>
      <w:marBottom w:val="0"/>
      <w:divBdr>
        <w:top w:val="none" w:sz="0" w:space="0" w:color="auto"/>
        <w:left w:val="none" w:sz="0" w:space="0" w:color="auto"/>
        <w:bottom w:val="none" w:sz="0" w:space="0" w:color="auto"/>
        <w:right w:val="none" w:sz="0" w:space="0" w:color="auto"/>
      </w:divBdr>
    </w:div>
    <w:div w:id="1205286086">
      <w:bodyDiv w:val="1"/>
      <w:marLeft w:val="0"/>
      <w:marRight w:val="0"/>
      <w:marTop w:val="0"/>
      <w:marBottom w:val="0"/>
      <w:divBdr>
        <w:top w:val="none" w:sz="0" w:space="0" w:color="auto"/>
        <w:left w:val="none" w:sz="0" w:space="0" w:color="auto"/>
        <w:bottom w:val="none" w:sz="0" w:space="0" w:color="auto"/>
        <w:right w:val="none" w:sz="0" w:space="0" w:color="auto"/>
      </w:divBdr>
    </w:div>
    <w:div w:id="1211303739">
      <w:bodyDiv w:val="1"/>
      <w:marLeft w:val="0"/>
      <w:marRight w:val="0"/>
      <w:marTop w:val="0"/>
      <w:marBottom w:val="0"/>
      <w:divBdr>
        <w:top w:val="none" w:sz="0" w:space="0" w:color="auto"/>
        <w:left w:val="none" w:sz="0" w:space="0" w:color="auto"/>
        <w:bottom w:val="none" w:sz="0" w:space="0" w:color="auto"/>
        <w:right w:val="none" w:sz="0" w:space="0" w:color="auto"/>
      </w:divBdr>
    </w:div>
    <w:div w:id="1213620814">
      <w:bodyDiv w:val="1"/>
      <w:marLeft w:val="0"/>
      <w:marRight w:val="0"/>
      <w:marTop w:val="0"/>
      <w:marBottom w:val="0"/>
      <w:divBdr>
        <w:top w:val="none" w:sz="0" w:space="0" w:color="auto"/>
        <w:left w:val="none" w:sz="0" w:space="0" w:color="auto"/>
        <w:bottom w:val="none" w:sz="0" w:space="0" w:color="auto"/>
        <w:right w:val="none" w:sz="0" w:space="0" w:color="auto"/>
      </w:divBdr>
    </w:div>
    <w:div w:id="1218862596">
      <w:bodyDiv w:val="1"/>
      <w:marLeft w:val="0"/>
      <w:marRight w:val="0"/>
      <w:marTop w:val="0"/>
      <w:marBottom w:val="0"/>
      <w:divBdr>
        <w:top w:val="none" w:sz="0" w:space="0" w:color="auto"/>
        <w:left w:val="none" w:sz="0" w:space="0" w:color="auto"/>
        <w:bottom w:val="none" w:sz="0" w:space="0" w:color="auto"/>
        <w:right w:val="none" w:sz="0" w:space="0" w:color="auto"/>
      </w:divBdr>
    </w:div>
    <w:div w:id="1224372330">
      <w:bodyDiv w:val="1"/>
      <w:marLeft w:val="0"/>
      <w:marRight w:val="0"/>
      <w:marTop w:val="0"/>
      <w:marBottom w:val="0"/>
      <w:divBdr>
        <w:top w:val="none" w:sz="0" w:space="0" w:color="auto"/>
        <w:left w:val="none" w:sz="0" w:space="0" w:color="auto"/>
        <w:bottom w:val="none" w:sz="0" w:space="0" w:color="auto"/>
        <w:right w:val="none" w:sz="0" w:space="0" w:color="auto"/>
      </w:divBdr>
    </w:div>
    <w:div w:id="1229538343">
      <w:bodyDiv w:val="1"/>
      <w:marLeft w:val="0"/>
      <w:marRight w:val="0"/>
      <w:marTop w:val="0"/>
      <w:marBottom w:val="0"/>
      <w:divBdr>
        <w:top w:val="none" w:sz="0" w:space="0" w:color="auto"/>
        <w:left w:val="none" w:sz="0" w:space="0" w:color="auto"/>
        <w:bottom w:val="none" w:sz="0" w:space="0" w:color="auto"/>
        <w:right w:val="none" w:sz="0" w:space="0" w:color="auto"/>
      </w:divBdr>
    </w:div>
    <w:div w:id="1234702016">
      <w:bodyDiv w:val="1"/>
      <w:marLeft w:val="0"/>
      <w:marRight w:val="0"/>
      <w:marTop w:val="0"/>
      <w:marBottom w:val="0"/>
      <w:divBdr>
        <w:top w:val="none" w:sz="0" w:space="0" w:color="auto"/>
        <w:left w:val="none" w:sz="0" w:space="0" w:color="auto"/>
        <w:bottom w:val="none" w:sz="0" w:space="0" w:color="auto"/>
        <w:right w:val="none" w:sz="0" w:space="0" w:color="auto"/>
      </w:divBdr>
    </w:div>
    <w:div w:id="1237398050">
      <w:bodyDiv w:val="1"/>
      <w:marLeft w:val="0"/>
      <w:marRight w:val="0"/>
      <w:marTop w:val="0"/>
      <w:marBottom w:val="0"/>
      <w:divBdr>
        <w:top w:val="none" w:sz="0" w:space="0" w:color="auto"/>
        <w:left w:val="none" w:sz="0" w:space="0" w:color="auto"/>
        <w:bottom w:val="none" w:sz="0" w:space="0" w:color="auto"/>
        <w:right w:val="none" w:sz="0" w:space="0" w:color="auto"/>
      </w:divBdr>
    </w:div>
    <w:div w:id="1251113030">
      <w:bodyDiv w:val="1"/>
      <w:marLeft w:val="0"/>
      <w:marRight w:val="0"/>
      <w:marTop w:val="0"/>
      <w:marBottom w:val="0"/>
      <w:divBdr>
        <w:top w:val="none" w:sz="0" w:space="0" w:color="auto"/>
        <w:left w:val="none" w:sz="0" w:space="0" w:color="auto"/>
        <w:bottom w:val="none" w:sz="0" w:space="0" w:color="auto"/>
        <w:right w:val="none" w:sz="0" w:space="0" w:color="auto"/>
      </w:divBdr>
    </w:div>
    <w:div w:id="1260067923">
      <w:bodyDiv w:val="1"/>
      <w:marLeft w:val="0"/>
      <w:marRight w:val="0"/>
      <w:marTop w:val="0"/>
      <w:marBottom w:val="0"/>
      <w:divBdr>
        <w:top w:val="none" w:sz="0" w:space="0" w:color="auto"/>
        <w:left w:val="none" w:sz="0" w:space="0" w:color="auto"/>
        <w:bottom w:val="none" w:sz="0" w:space="0" w:color="auto"/>
        <w:right w:val="none" w:sz="0" w:space="0" w:color="auto"/>
      </w:divBdr>
    </w:div>
    <w:div w:id="1273438780">
      <w:bodyDiv w:val="1"/>
      <w:marLeft w:val="0"/>
      <w:marRight w:val="0"/>
      <w:marTop w:val="0"/>
      <w:marBottom w:val="0"/>
      <w:divBdr>
        <w:top w:val="none" w:sz="0" w:space="0" w:color="auto"/>
        <w:left w:val="none" w:sz="0" w:space="0" w:color="auto"/>
        <w:bottom w:val="none" w:sz="0" w:space="0" w:color="auto"/>
        <w:right w:val="none" w:sz="0" w:space="0" w:color="auto"/>
      </w:divBdr>
    </w:div>
    <w:div w:id="1274677720">
      <w:bodyDiv w:val="1"/>
      <w:marLeft w:val="0"/>
      <w:marRight w:val="0"/>
      <w:marTop w:val="0"/>
      <w:marBottom w:val="0"/>
      <w:divBdr>
        <w:top w:val="none" w:sz="0" w:space="0" w:color="auto"/>
        <w:left w:val="none" w:sz="0" w:space="0" w:color="auto"/>
        <w:bottom w:val="none" w:sz="0" w:space="0" w:color="auto"/>
        <w:right w:val="none" w:sz="0" w:space="0" w:color="auto"/>
      </w:divBdr>
    </w:div>
    <w:div w:id="1287931003">
      <w:bodyDiv w:val="1"/>
      <w:marLeft w:val="0"/>
      <w:marRight w:val="0"/>
      <w:marTop w:val="0"/>
      <w:marBottom w:val="0"/>
      <w:divBdr>
        <w:top w:val="none" w:sz="0" w:space="0" w:color="auto"/>
        <w:left w:val="none" w:sz="0" w:space="0" w:color="auto"/>
        <w:bottom w:val="none" w:sz="0" w:space="0" w:color="auto"/>
        <w:right w:val="none" w:sz="0" w:space="0" w:color="auto"/>
      </w:divBdr>
    </w:div>
    <w:div w:id="1290163495">
      <w:bodyDiv w:val="1"/>
      <w:marLeft w:val="0"/>
      <w:marRight w:val="0"/>
      <w:marTop w:val="0"/>
      <w:marBottom w:val="0"/>
      <w:divBdr>
        <w:top w:val="none" w:sz="0" w:space="0" w:color="auto"/>
        <w:left w:val="none" w:sz="0" w:space="0" w:color="auto"/>
        <w:bottom w:val="none" w:sz="0" w:space="0" w:color="auto"/>
        <w:right w:val="none" w:sz="0" w:space="0" w:color="auto"/>
      </w:divBdr>
    </w:div>
    <w:div w:id="1291666633">
      <w:bodyDiv w:val="1"/>
      <w:marLeft w:val="0"/>
      <w:marRight w:val="0"/>
      <w:marTop w:val="0"/>
      <w:marBottom w:val="0"/>
      <w:divBdr>
        <w:top w:val="none" w:sz="0" w:space="0" w:color="auto"/>
        <w:left w:val="none" w:sz="0" w:space="0" w:color="auto"/>
        <w:bottom w:val="none" w:sz="0" w:space="0" w:color="auto"/>
        <w:right w:val="none" w:sz="0" w:space="0" w:color="auto"/>
      </w:divBdr>
    </w:div>
    <w:div w:id="1296832747">
      <w:bodyDiv w:val="1"/>
      <w:marLeft w:val="0"/>
      <w:marRight w:val="0"/>
      <w:marTop w:val="0"/>
      <w:marBottom w:val="0"/>
      <w:divBdr>
        <w:top w:val="none" w:sz="0" w:space="0" w:color="auto"/>
        <w:left w:val="none" w:sz="0" w:space="0" w:color="auto"/>
        <w:bottom w:val="none" w:sz="0" w:space="0" w:color="auto"/>
        <w:right w:val="none" w:sz="0" w:space="0" w:color="auto"/>
      </w:divBdr>
    </w:div>
    <w:div w:id="1301380056">
      <w:bodyDiv w:val="1"/>
      <w:marLeft w:val="0"/>
      <w:marRight w:val="0"/>
      <w:marTop w:val="0"/>
      <w:marBottom w:val="0"/>
      <w:divBdr>
        <w:top w:val="none" w:sz="0" w:space="0" w:color="auto"/>
        <w:left w:val="none" w:sz="0" w:space="0" w:color="auto"/>
        <w:bottom w:val="none" w:sz="0" w:space="0" w:color="auto"/>
        <w:right w:val="none" w:sz="0" w:space="0" w:color="auto"/>
      </w:divBdr>
    </w:div>
    <w:div w:id="1303660352">
      <w:bodyDiv w:val="1"/>
      <w:marLeft w:val="0"/>
      <w:marRight w:val="0"/>
      <w:marTop w:val="0"/>
      <w:marBottom w:val="0"/>
      <w:divBdr>
        <w:top w:val="none" w:sz="0" w:space="0" w:color="auto"/>
        <w:left w:val="none" w:sz="0" w:space="0" w:color="auto"/>
        <w:bottom w:val="none" w:sz="0" w:space="0" w:color="auto"/>
        <w:right w:val="none" w:sz="0" w:space="0" w:color="auto"/>
      </w:divBdr>
    </w:div>
    <w:div w:id="1312445617">
      <w:bodyDiv w:val="1"/>
      <w:marLeft w:val="0"/>
      <w:marRight w:val="0"/>
      <w:marTop w:val="0"/>
      <w:marBottom w:val="0"/>
      <w:divBdr>
        <w:top w:val="none" w:sz="0" w:space="0" w:color="auto"/>
        <w:left w:val="none" w:sz="0" w:space="0" w:color="auto"/>
        <w:bottom w:val="none" w:sz="0" w:space="0" w:color="auto"/>
        <w:right w:val="none" w:sz="0" w:space="0" w:color="auto"/>
      </w:divBdr>
    </w:div>
    <w:div w:id="1322582260">
      <w:bodyDiv w:val="1"/>
      <w:marLeft w:val="0"/>
      <w:marRight w:val="0"/>
      <w:marTop w:val="0"/>
      <w:marBottom w:val="0"/>
      <w:divBdr>
        <w:top w:val="none" w:sz="0" w:space="0" w:color="auto"/>
        <w:left w:val="none" w:sz="0" w:space="0" w:color="auto"/>
        <w:bottom w:val="none" w:sz="0" w:space="0" w:color="auto"/>
        <w:right w:val="none" w:sz="0" w:space="0" w:color="auto"/>
      </w:divBdr>
    </w:div>
    <w:div w:id="1341544847">
      <w:bodyDiv w:val="1"/>
      <w:marLeft w:val="0"/>
      <w:marRight w:val="0"/>
      <w:marTop w:val="0"/>
      <w:marBottom w:val="0"/>
      <w:divBdr>
        <w:top w:val="none" w:sz="0" w:space="0" w:color="auto"/>
        <w:left w:val="none" w:sz="0" w:space="0" w:color="auto"/>
        <w:bottom w:val="none" w:sz="0" w:space="0" w:color="auto"/>
        <w:right w:val="none" w:sz="0" w:space="0" w:color="auto"/>
      </w:divBdr>
    </w:div>
    <w:div w:id="1343820825">
      <w:bodyDiv w:val="1"/>
      <w:marLeft w:val="0"/>
      <w:marRight w:val="0"/>
      <w:marTop w:val="0"/>
      <w:marBottom w:val="0"/>
      <w:divBdr>
        <w:top w:val="none" w:sz="0" w:space="0" w:color="auto"/>
        <w:left w:val="none" w:sz="0" w:space="0" w:color="auto"/>
        <w:bottom w:val="none" w:sz="0" w:space="0" w:color="auto"/>
        <w:right w:val="none" w:sz="0" w:space="0" w:color="auto"/>
      </w:divBdr>
    </w:div>
    <w:div w:id="1354375933">
      <w:bodyDiv w:val="1"/>
      <w:marLeft w:val="0"/>
      <w:marRight w:val="0"/>
      <w:marTop w:val="0"/>
      <w:marBottom w:val="0"/>
      <w:divBdr>
        <w:top w:val="none" w:sz="0" w:space="0" w:color="auto"/>
        <w:left w:val="none" w:sz="0" w:space="0" w:color="auto"/>
        <w:bottom w:val="none" w:sz="0" w:space="0" w:color="auto"/>
        <w:right w:val="none" w:sz="0" w:space="0" w:color="auto"/>
      </w:divBdr>
    </w:div>
    <w:div w:id="1357658704">
      <w:bodyDiv w:val="1"/>
      <w:marLeft w:val="0"/>
      <w:marRight w:val="0"/>
      <w:marTop w:val="0"/>
      <w:marBottom w:val="0"/>
      <w:divBdr>
        <w:top w:val="none" w:sz="0" w:space="0" w:color="auto"/>
        <w:left w:val="none" w:sz="0" w:space="0" w:color="auto"/>
        <w:bottom w:val="none" w:sz="0" w:space="0" w:color="auto"/>
        <w:right w:val="none" w:sz="0" w:space="0" w:color="auto"/>
      </w:divBdr>
    </w:div>
    <w:div w:id="1359309823">
      <w:bodyDiv w:val="1"/>
      <w:marLeft w:val="0"/>
      <w:marRight w:val="0"/>
      <w:marTop w:val="0"/>
      <w:marBottom w:val="0"/>
      <w:divBdr>
        <w:top w:val="none" w:sz="0" w:space="0" w:color="auto"/>
        <w:left w:val="none" w:sz="0" w:space="0" w:color="auto"/>
        <w:bottom w:val="none" w:sz="0" w:space="0" w:color="auto"/>
        <w:right w:val="none" w:sz="0" w:space="0" w:color="auto"/>
      </w:divBdr>
    </w:div>
    <w:div w:id="1366057199">
      <w:bodyDiv w:val="1"/>
      <w:marLeft w:val="0"/>
      <w:marRight w:val="0"/>
      <w:marTop w:val="0"/>
      <w:marBottom w:val="0"/>
      <w:divBdr>
        <w:top w:val="none" w:sz="0" w:space="0" w:color="auto"/>
        <w:left w:val="none" w:sz="0" w:space="0" w:color="auto"/>
        <w:bottom w:val="none" w:sz="0" w:space="0" w:color="auto"/>
        <w:right w:val="none" w:sz="0" w:space="0" w:color="auto"/>
      </w:divBdr>
    </w:div>
    <w:div w:id="1373310673">
      <w:bodyDiv w:val="1"/>
      <w:marLeft w:val="0"/>
      <w:marRight w:val="0"/>
      <w:marTop w:val="0"/>
      <w:marBottom w:val="0"/>
      <w:divBdr>
        <w:top w:val="none" w:sz="0" w:space="0" w:color="auto"/>
        <w:left w:val="none" w:sz="0" w:space="0" w:color="auto"/>
        <w:bottom w:val="none" w:sz="0" w:space="0" w:color="auto"/>
        <w:right w:val="none" w:sz="0" w:space="0" w:color="auto"/>
      </w:divBdr>
    </w:div>
    <w:div w:id="1375235402">
      <w:bodyDiv w:val="1"/>
      <w:marLeft w:val="0"/>
      <w:marRight w:val="0"/>
      <w:marTop w:val="0"/>
      <w:marBottom w:val="0"/>
      <w:divBdr>
        <w:top w:val="none" w:sz="0" w:space="0" w:color="auto"/>
        <w:left w:val="none" w:sz="0" w:space="0" w:color="auto"/>
        <w:bottom w:val="none" w:sz="0" w:space="0" w:color="auto"/>
        <w:right w:val="none" w:sz="0" w:space="0" w:color="auto"/>
      </w:divBdr>
    </w:div>
    <w:div w:id="1375929017">
      <w:bodyDiv w:val="1"/>
      <w:marLeft w:val="0"/>
      <w:marRight w:val="0"/>
      <w:marTop w:val="0"/>
      <w:marBottom w:val="0"/>
      <w:divBdr>
        <w:top w:val="none" w:sz="0" w:space="0" w:color="auto"/>
        <w:left w:val="none" w:sz="0" w:space="0" w:color="auto"/>
        <w:bottom w:val="none" w:sz="0" w:space="0" w:color="auto"/>
        <w:right w:val="none" w:sz="0" w:space="0" w:color="auto"/>
      </w:divBdr>
    </w:div>
    <w:div w:id="1390224638">
      <w:bodyDiv w:val="1"/>
      <w:marLeft w:val="0"/>
      <w:marRight w:val="0"/>
      <w:marTop w:val="0"/>
      <w:marBottom w:val="0"/>
      <w:divBdr>
        <w:top w:val="none" w:sz="0" w:space="0" w:color="auto"/>
        <w:left w:val="none" w:sz="0" w:space="0" w:color="auto"/>
        <w:bottom w:val="none" w:sz="0" w:space="0" w:color="auto"/>
        <w:right w:val="none" w:sz="0" w:space="0" w:color="auto"/>
      </w:divBdr>
    </w:div>
    <w:div w:id="1408190049">
      <w:bodyDiv w:val="1"/>
      <w:marLeft w:val="0"/>
      <w:marRight w:val="0"/>
      <w:marTop w:val="0"/>
      <w:marBottom w:val="0"/>
      <w:divBdr>
        <w:top w:val="none" w:sz="0" w:space="0" w:color="auto"/>
        <w:left w:val="none" w:sz="0" w:space="0" w:color="auto"/>
        <w:bottom w:val="none" w:sz="0" w:space="0" w:color="auto"/>
        <w:right w:val="none" w:sz="0" w:space="0" w:color="auto"/>
      </w:divBdr>
    </w:div>
    <w:div w:id="1414938447">
      <w:bodyDiv w:val="1"/>
      <w:marLeft w:val="0"/>
      <w:marRight w:val="0"/>
      <w:marTop w:val="0"/>
      <w:marBottom w:val="0"/>
      <w:divBdr>
        <w:top w:val="none" w:sz="0" w:space="0" w:color="auto"/>
        <w:left w:val="none" w:sz="0" w:space="0" w:color="auto"/>
        <w:bottom w:val="none" w:sz="0" w:space="0" w:color="auto"/>
        <w:right w:val="none" w:sz="0" w:space="0" w:color="auto"/>
      </w:divBdr>
    </w:div>
    <w:div w:id="1420784261">
      <w:bodyDiv w:val="1"/>
      <w:marLeft w:val="0"/>
      <w:marRight w:val="0"/>
      <w:marTop w:val="0"/>
      <w:marBottom w:val="0"/>
      <w:divBdr>
        <w:top w:val="none" w:sz="0" w:space="0" w:color="auto"/>
        <w:left w:val="none" w:sz="0" w:space="0" w:color="auto"/>
        <w:bottom w:val="none" w:sz="0" w:space="0" w:color="auto"/>
        <w:right w:val="none" w:sz="0" w:space="0" w:color="auto"/>
      </w:divBdr>
    </w:div>
    <w:div w:id="1426610721">
      <w:bodyDiv w:val="1"/>
      <w:marLeft w:val="0"/>
      <w:marRight w:val="0"/>
      <w:marTop w:val="0"/>
      <w:marBottom w:val="0"/>
      <w:divBdr>
        <w:top w:val="none" w:sz="0" w:space="0" w:color="auto"/>
        <w:left w:val="none" w:sz="0" w:space="0" w:color="auto"/>
        <w:bottom w:val="none" w:sz="0" w:space="0" w:color="auto"/>
        <w:right w:val="none" w:sz="0" w:space="0" w:color="auto"/>
      </w:divBdr>
    </w:div>
    <w:div w:id="1429615195">
      <w:bodyDiv w:val="1"/>
      <w:marLeft w:val="0"/>
      <w:marRight w:val="0"/>
      <w:marTop w:val="0"/>
      <w:marBottom w:val="0"/>
      <w:divBdr>
        <w:top w:val="none" w:sz="0" w:space="0" w:color="auto"/>
        <w:left w:val="none" w:sz="0" w:space="0" w:color="auto"/>
        <w:bottom w:val="none" w:sz="0" w:space="0" w:color="auto"/>
        <w:right w:val="none" w:sz="0" w:space="0" w:color="auto"/>
      </w:divBdr>
    </w:div>
    <w:div w:id="1434941094">
      <w:bodyDiv w:val="1"/>
      <w:marLeft w:val="0"/>
      <w:marRight w:val="0"/>
      <w:marTop w:val="0"/>
      <w:marBottom w:val="0"/>
      <w:divBdr>
        <w:top w:val="none" w:sz="0" w:space="0" w:color="auto"/>
        <w:left w:val="none" w:sz="0" w:space="0" w:color="auto"/>
        <w:bottom w:val="none" w:sz="0" w:space="0" w:color="auto"/>
        <w:right w:val="none" w:sz="0" w:space="0" w:color="auto"/>
      </w:divBdr>
    </w:div>
    <w:div w:id="1439252564">
      <w:bodyDiv w:val="1"/>
      <w:marLeft w:val="0"/>
      <w:marRight w:val="0"/>
      <w:marTop w:val="0"/>
      <w:marBottom w:val="0"/>
      <w:divBdr>
        <w:top w:val="none" w:sz="0" w:space="0" w:color="auto"/>
        <w:left w:val="none" w:sz="0" w:space="0" w:color="auto"/>
        <w:bottom w:val="none" w:sz="0" w:space="0" w:color="auto"/>
        <w:right w:val="none" w:sz="0" w:space="0" w:color="auto"/>
      </w:divBdr>
    </w:div>
    <w:div w:id="1440876329">
      <w:bodyDiv w:val="1"/>
      <w:marLeft w:val="0"/>
      <w:marRight w:val="0"/>
      <w:marTop w:val="0"/>
      <w:marBottom w:val="0"/>
      <w:divBdr>
        <w:top w:val="none" w:sz="0" w:space="0" w:color="auto"/>
        <w:left w:val="none" w:sz="0" w:space="0" w:color="auto"/>
        <w:bottom w:val="none" w:sz="0" w:space="0" w:color="auto"/>
        <w:right w:val="none" w:sz="0" w:space="0" w:color="auto"/>
      </w:divBdr>
    </w:div>
    <w:div w:id="1452819503">
      <w:bodyDiv w:val="1"/>
      <w:marLeft w:val="0"/>
      <w:marRight w:val="0"/>
      <w:marTop w:val="0"/>
      <w:marBottom w:val="0"/>
      <w:divBdr>
        <w:top w:val="none" w:sz="0" w:space="0" w:color="auto"/>
        <w:left w:val="none" w:sz="0" w:space="0" w:color="auto"/>
        <w:bottom w:val="none" w:sz="0" w:space="0" w:color="auto"/>
        <w:right w:val="none" w:sz="0" w:space="0" w:color="auto"/>
      </w:divBdr>
    </w:div>
    <w:div w:id="1454129985">
      <w:bodyDiv w:val="1"/>
      <w:marLeft w:val="0"/>
      <w:marRight w:val="0"/>
      <w:marTop w:val="0"/>
      <w:marBottom w:val="0"/>
      <w:divBdr>
        <w:top w:val="none" w:sz="0" w:space="0" w:color="auto"/>
        <w:left w:val="none" w:sz="0" w:space="0" w:color="auto"/>
        <w:bottom w:val="none" w:sz="0" w:space="0" w:color="auto"/>
        <w:right w:val="none" w:sz="0" w:space="0" w:color="auto"/>
      </w:divBdr>
    </w:div>
    <w:div w:id="1456867188">
      <w:bodyDiv w:val="1"/>
      <w:marLeft w:val="0"/>
      <w:marRight w:val="0"/>
      <w:marTop w:val="0"/>
      <w:marBottom w:val="0"/>
      <w:divBdr>
        <w:top w:val="none" w:sz="0" w:space="0" w:color="auto"/>
        <w:left w:val="none" w:sz="0" w:space="0" w:color="auto"/>
        <w:bottom w:val="none" w:sz="0" w:space="0" w:color="auto"/>
        <w:right w:val="none" w:sz="0" w:space="0" w:color="auto"/>
      </w:divBdr>
    </w:div>
    <w:div w:id="1465855736">
      <w:bodyDiv w:val="1"/>
      <w:marLeft w:val="0"/>
      <w:marRight w:val="0"/>
      <w:marTop w:val="0"/>
      <w:marBottom w:val="0"/>
      <w:divBdr>
        <w:top w:val="none" w:sz="0" w:space="0" w:color="auto"/>
        <w:left w:val="none" w:sz="0" w:space="0" w:color="auto"/>
        <w:bottom w:val="none" w:sz="0" w:space="0" w:color="auto"/>
        <w:right w:val="none" w:sz="0" w:space="0" w:color="auto"/>
      </w:divBdr>
    </w:div>
    <w:div w:id="1484153248">
      <w:bodyDiv w:val="1"/>
      <w:marLeft w:val="0"/>
      <w:marRight w:val="0"/>
      <w:marTop w:val="0"/>
      <w:marBottom w:val="0"/>
      <w:divBdr>
        <w:top w:val="none" w:sz="0" w:space="0" w:color="auto"/>
        <w:left w:val="none" w:sz="0" w:space="0" w:color="auto"/>
        <w:bottom w:val="none" w:sz="0" w:space="0" w:color="auto"/>
        <w:right w:val="none" w:sz="0" w:space="0" w:color="auto"/>
      </w:divBdr>
    </w:div>
    <w:div w:id="1489244859">
      <w:bodyDiv w:val="1"/>
      <w:marLeft w:val="0"/>
      <w:marRight w:val="0"/>
      <w:marTop w:val="0"/>
      <w:marBottom w:val="0"/>
      <w:divBdr>
        <w:top w:val="none" w:sz="0" w:space="0" w:color="auto"/>
        <w:left w:val="none" w:sz="0" w:space="0" w:color="auto"/>
        <w:bottom w:val="none" w:sz="0" w:space="0" w:color="auto"/>
        <w:right w:val="none" w:sz="0" w:space="0" w:color="auto"/>
      </w:divBdr>
    </w:div>
    <w:div w:id="1507867465">
      <w:bodyDiv w:val="1"/>
      <w:marLeft w:val="0"/>
      <w:marRight w:val="0"/>
      <w:marTop w:val="0"/>
      <w:marBottom w:val="0"/>
      <w:divBdr>
        <w:top w:val="none" w:sz="0" w:space="0" w:color="auto"/>
        <w:left w:val="none" w:sz="0" w:space="0" w:color="auto"/>
        <w:bottom w:val="none" w:sz="0" w:space="0" w:color="auto"/>
        <w:right w:val="none" w:sz="0" w:space="0" w:color="auto"/>
      </w:divBdr>
    </w:div>
    <w:div w:id="1514565301">
      <w:bodyDiv w:val="1"/>
      <w:marLeft w:val="0"/>
      <w:marRight w:val="0"/>
      <w:marTop w:val="0"/>
      <w:marBottom w:val="0"/>
      <w:divBdr>
        <w:top w:val="none" w:sz="0" w:space="0" w:color="auto"/>
        <w:left w:val="none" w:sz="0" w:space="0" w:color="auto"/>
        <w:bottom w:val="none" w:sz="0" w:space="0" w:color="auto"/>
        <w:right w:val="none" w:sz="0" w:space="0" w:color="auto"/>
      </w:divBdr>
    </w:div>
    <w:div w:id="1521309372">
      <w:bodyDiv w:val="1"/>
      <w:marLeft w:val="0"/>
      <w:marRight w:val="0"/>
      <w:marTop w:val="0"/>
      <w:marBottom w:val="0"/>
      <w:divBdr>
        <w:top w:val="none" w:sz="0" w:space="0" w:color="auto"/>
        <w:left w:val="none" w:sz="0" w:space="0" w:color="auto"/>
        <w:bottom w:val="none" w:sz="0" w:space="0" w:color="auto"/>
        <w:right w:val="none" w:sz="0" w:space="0" w:color="auto"/>
      </w:divBdr>
    </w:div>
    <w:div w:id="1522738436">
      <w:bodyDiv w:val="1"/>
      <w:marLeft w:val="0"/>
      <w:marRight w:val="0"/>
      <w:marTop w:val="0"/>
      <w:marBottom w:val="0"/>
      <w:divBdr>
        <w:top w:val="none" w:sz="0" w:space="0" w:color="auto"/>
        <w:left w:val="none" w:sz="0" w:space="0" w:color="auto"/>
        <w:bottom w:val="none" w:sz="0" w:space="0" w:color="auto"/>
        <w:right w:val="none" w:sz="0" w:space="0" w:color="auto"/>
      </w:divBdr>
    </w:div>
    <w:div w:id="1523938915">
      <w:bodyDiv w:val="1"/>
      <w:marLeft w:val="0"/>
      <w:marRight w:val="0"/>
      <w:marTop w:val="0"/>
      <w:marBottom w:val="0"/>
      <w:divBdr>
        <w:top w:val="none" w:sz="0" w:space="0" w:color="auto"/>
        <w:left w:val="none" w:sz="0" w:space="0" w:color="auto"/>
        <w:bottom w:val="none" w:sz="0" w:space="0" w:color="auto"/>
        <w:right w:val="none" w:sz="0" w:space="0" w:color="auto"/>
      </w:divBdr>
    </w:div>
    <w:div w:id="1540781642">
      <w:bodyDiv w:val="1"/>
      <w:marLeft w:val="0"/>
      <w:marRight w:val="0"/>
      <w:marTop w:val="0"/>
      <w:marBottom w:val="0"/>
      <w:divBdr>
        <w:top w:val="none" w:sz="0" w:space="0" w:color="auto"/>
        <w:left w:val="none" w:sz="0" w:space="0" w:color="auto"/>
        <w:bottom w:val="none" w:sz="0" w:space="0" w:color="auto"/>
        <w:right w:val="none" w:sz="0" w:space="0" w:color="auto"/>
      </w:divBdr>
    </w:div>
    <w:div w:id="1547984338">
      <w:bodyDiv w:val="1"/>
      <w:marLeft w:val="0"/>
      <w:marRight w:val="0"/>
      <w:marTop w:val="0"/>
      <w:marBottom w:val="0"/>
      <w:divBdr>
        <w:top w:val="none" w:sz="0" w:space="0" w:color="auto"/>
        <w:left w:val="none" w:sz="0" w:space="0" w:color="auto"/>
        <w:bottom w:val="none" w:sz="0" w:space="0" w:color="auto"/>
        <w:right w:val="none" w:sz="0" w:space="0" w:color="auto"/>
      </w:divBdr>
    </w:div>
    <w:div w:id="1548957828">
      <w:bodyDiv w:val="1"/>
      <w:marLeft w:val="0"/>
      <w:marRight w:val="0"/>
      <w:marTop w:val="0"/>
      <w:marBottom w:val="0"/>
      <w:divBdr>
        <w:top w:val="none" w:sz="0" w:space="0" w:color="auto"/>
        <w:left w:val="none" w:sz="0" w:space="0" w:color="auto"/>
        <w:bottom w:val="none" w:sz="0" w:space="0" w:color="auto"/>
        <w:right w:val="none" w:sz="0" w:space="0" w:color="auto"/>
      </w:divBdr>
    </w:div>
    <w:div w:id="1568881655">
      <w:bodyDiv w:val="1"/>
      <w:marLeft w:val="0"/>
      <w:marRight w:val="0"/>
      <w:marTop w:val="0"/>
      <w:marBottom w:val="0"/>
      <w:divBdr>
        <w:top w:val="none" w:sz="0" w:space="0" w:color="auto"/>
        <w:left w:val="none" w:sz="0" w:space="0" w:color="auto"/>
        <w:bottom w:val="none" w:sz="0" w:space="0" w:color="auto"/>
        <w:right w:val="none" w:sz="0" w:space="0" w:color="auto"/>
      </w:divBdr>
    </w:div>
    <w:div w:id="1584755071">
      <w:bodyDiv w:val="1"/>
      <w:marLeft w:val="0"/>
      <w:marRight w:val="0"/>
      <w:marTop w:val="0"/>
      <w:marBottom w:val="0"/>
      <w:divBdr>
        <w:top w:val="none" w:sz="0" w:space="0" w:color="auto"/>
        <w:left w:val="none" w:sz="0" w:space="0" w:color="auto"/>
        <w:bottom w:val="none" w:sz="0" w:space="0" w:color="auto"/>
        <w:right w:val="none" w:sz="0" w:space="0" w:color="auto"/>
      </w:divBdr>
    </w:div>
    <w:div w:id="1588076093">
      <w:bodyDiv w:val="1"/>
      <w:marLeft w:val="0"/>
      <w:marRight w:val="0"/>
      <w:marTop w:val="0"/>
      <w:marBottom w:val="0"/>
      <w:divBdr>
        <w:top w:val="none" w:sz="0" w:space="0" w:color="auto"/>
        <w:left w:val="none" w:sz="0" w:space="0" w:color="auto"/>
        <w:bottom w:val="none" w:sz="0" w:space="0" w:color="auto"/>
        <w:right w:val="none" w:sz="0" w:space="0" w:color="auto"/>
      </w:divBdr>
    </w:div>
    <w:div w:id="1596983795">
      <w:bodyDiv w:val="1"/>
      <w:marLeft w:val="0"/>
      <w:marRight w:val="0"/>
      <w:marTop w:val="0"/>
      <w:marBottom w:val="0"/>
      <w:divBdr>
        <w:top w:val="none" w:sz="0" w:space="0" w:color="auto"/>
        <w:left w:val="none" w:sz="0" w:space="0" w:color="auto"/>
        <w:bottom w:val="none" w:sz="0" w:space="0" w:color="auto"/>
        <w:right w:val="none" w:sz="0" w:space="0" w:color="auto"/>
      </w:divBdr>
    </w:div>
    <w:div w:id="1600336339">
      <w:bodyDiv w:val="1"/>
      <w:marLeft w:val="0"/>
      <w:marRight w:val="0"/>
      <w:marTop w:val="0"/>
      <w:marBottom w:val="0"/>
      <w:divBdr>
        <w:top w:val="none" w:sz="0" w:space="0" w:color="auto"/>
        <w:left w:val="none" w:sz="0" w:space="0" w:color="auto"/>
        <w:bottom w:val="none" w:sz="0" w:space="0" w:color="auto"/>
        <w:right w:val="none" w:sz="0" w:space="0" w:color="auto"/>
      </w:divBdr>
    </w:div>
    <w:div w:id="1601907914">
      <w:bodyDiv w:val="1"/>
      <w:marLeft w:val="0"/>
      <w:marRight w:val="0"/>
      <w:marTop w:val="0"/>
      <w:marBottom w:val="0"/>
      <w:divBdr>
        <w:top w:val="none" w:sz="0" w:space="0" w:color="auto"/>
        <w:left w:val="none" w:sz="0" w:space="0" w:color="auto"/>
        <w:bottom w:val="none" w:sz="0" w:space="0" w:color="auto"/>
        <w:right w:val="none" w:sz="0" w:space="0" w:color="auto"/>
      </w:divBdr>
    </w:div>
    <w:div w:id="1602028292">
      <w:bodyDiv w:val="1"/>
      <w:marLeft w:val="0"/>
      <w:marRight w:val="0"/>
      <w:marTop w:val="0"/>
      <w:marBottom w:val="0"/>
      <w:divBdr>
        <w:top w:val="none" w:sz="0" w:space="0" w:color="auto"/>
        <w:left w:val="none" w:sz="0" w:space="0" w:color="auto"/>
        <w:bottom w:val="none" w:sz="0" w:space="0" w:color="auto"/>
        <w:right w:val="none" w:sz="0" w:space="0" w:color="auto"/>
      </w:divBdr>
    </w:div>
    <w:div w:id="1610352136">
      <w:bodyDiv w:val="1"/>
      <w:marLeft w:val="0"/>
      <w:marRight w:val="0"/>
      <w:marTop w:val="0"/>
      <w:marBottom w:val="0"/>
      <w:divBdr>
        <w:top w:val="none" w:sz="0" w:space="0" w:color="auto"/>
        <w:left w:val="none" w:sz="0" w:space="0" w:color="auto"/>
        <w:bottom w:val="none" w:sz="0" w:space="0" w:color="auto"/>
        <w:right w:val="none" w:sz="0" w:space="0" w:color="auto"/>
      </w:divBdr>
    </w:div>
    <w:div w:id="1618759657">
      <w:bodyDiv w:val="1"/>
      <w:marLeft w:val="0"/>
      <w:marRight w:val="0"/>
      <w:marTop w:val="0"/>
      <w:marBottom w:val="0"/>
      <w:divBdr>
        <w:top w:val="none" w:sz="0" w:space="0" w:color="auto"/>
        <w:left w:val="none" w:sz="0" w:space="0" w:color="auto"/>
        <w:bottom w:val="none" w:sz="0" w:space="0" w:color="auto"/>
        <w:right w:val="none" w:sz="0" w:space="0" w:color="auto"/>
      </w:divBdr>
    </w:div>
    <w:div w:id="1624071793">
      <w:bodyDiv w:val="1"/>
      <w:marLeft w:val="0"/>
      <w:marRight w:val="0"/>
      <w:marTop w:val="0"/>
      <w:marBottom w:val="0"/>
      <w:divBdr>
        <w:top w:val="none" w:sz="0" w:space="0" w:color="auto"/>
        <w:left w:val="none" w:sz="0" w:space="0" w:color="auto"/>
        <w:bottom w:val="none" w:sz="0" w:space="0" w:color="auto"/>
        <w:right w:val="none" w:sz="0" w:space="0" w:color="auto"/>
      </w:divBdr>
    </w:div>
    <w:div w:id="1624119495">
      <w:bodyDiv w:val="1"/>
      <w:marLeft w:val="0"/>
      <w:marRight w:val="0"/>
      <w:marTop w:val="0"/>
      <w:marBottom w:val="0"/>
      <w:divBdr>
        <w:top w:val="none" w:sz="0" w:space="0" w:color="auto"/>
        <w:left w:val="none" w:sz="0" w:space="0" w:color="auto"/>
        <w:bottom w:val="none" w:sz="0" w:space="0" w:color="auto"/>
        <w:right w:val="none" w:sz="0" w:space="0" w:color="auto"/>
      </w:divBdr>
    </w:div>
    <w:div w:id="1626736244">
      <w:bodyDiv w:val="1"/>
      <w:marLeft w:val="0"/>
      <w:marRight w:val="0"/>
      <w:marTop w:val="0"/>
      <w:marBottom w:val="0"/>
      <w:divBdr>
        <w:top w:val="none" w:sz="0" w:space="0" w:color="auto"/>
        <w:left w:val="none" w:sz="0" w:space="0" w:color="auto"/>
        <w:bottom w:val="none" w:sz="0" w:space="0" w:color="auto"/>
        <w:right w:val="none" w:sz="0" w:space="0" w:color="auto"/>
      </w:divBdr>
    </w:div>
    <w:div w:id="1651253097">
      <w:bodyDiv w:val="1"/>
      <w:marLeft w:val="0"/>
      <w:marRight w:val="0"/>
      <w:marTop w:val="0"/>
      <w:marBottom w:val="0"/>
      <w:divBdr>
        <w:top w:val="none" w:sz="0" w:space="0" w:color="auto"/>
        <w:left w:val="none" w:sz="0" w:space="0" w:color="auto"/>
        <w:bottom w:val="none" w:sz="0" w:space="0" w:color="auto"/>
        <w:right w:val="none" w:sz="0" w:space="0" w:color="auto"/>
      </w:divBdr>
    </w:div>
    <w:div w:id="1682976279">
      <w:bodyDiv w:val="1"/>
      <w:marLeft w:val="0"/>
      <w:marRight w:val="0"/>
      <w:marTop w:val="0"/>
      <w:marBottom w:val="0"/>
      <w:divBdr>
        <w:top w:val="none" w:sz="0" w:space="0" w:color="auto"/>
        <w:left w:val="none" w:sz="0" w:space="0" w:color="auto"/>
        <w:bottom w:val="none" w:sz="0" w:space="0" w:color="auto"/>
        <w:right w:val="none" w:sz="0" w:space="0" w:color="auto"/>
      </w:divBdr>
    </w:div>
    <w:div w:id="1684162485">
      <w:bodyDiv w:val="1"/>
      <w:marLeft w:val="0"/>
      <w:marRight w:val="0"/>
      <w:marTop w:val="0"/>
      <w:marBottom w:val="0"/>
      <w:divBdr>
        <w:top w:val="none" w:sz="0" w:space="0" w:color="auto"/>
        <w:left w:val="none" w:sz="0" w:space="0" w:color="auto"/>
        <w:bottom w:val="none" w:sz="0" w:space="0" w:color="auto"/>
        <w:right w:val="none" w:sz="0" w:space="0" w:color="auto"/>
      </w:divBdr>
    </w:div>
    <w:div w:id="1686131974">
      <w:bodyDiv w:val="1"/>
      <w:marLeft w:val="0"/>
      <w:marRight w:val="0"/>
      <w:marTop w:val="0"/>
      <w:marBottom w:val="0"/>
      <w:divBdr>
        <w:top w:val="none" w:sz="0" w:space="0" w:color="auto"/>
        <w:left w:val="none" w:sz="0" w:space="0" w:color="auto"/>
        <w:bottom w:val="none" w:sz="0" w:space="0" w:color="auto"/>
        <w:right w:val="none" w:sz="0" w:space="0" w:color="auto"/>
      </w:divBdr>
    </w:div>
    <w:div w:id="1688949284">
      <w:bodyDiv w:val="1"/>
      <w:marLeft w:val="0"/>
      <w:marRight w:val="0"/>
      <w:marTop w:val="0"/>
      <w:marBottom w:val="0"/>
      <w:divBdr>
        <w:top w:val="none" w:sz="0" w:space="0" w:color="auto"/>
        <w:left w:val="none" w:sz="0" w:space="0" w:color="auto"/>
        <w:bottom w:val="none" w:sz="0" w:space="0" w:color="auto"/>
        <w:right w:val="none" w:sz="0" w:space="0" w:color="auto"/>
      </w:divBdr>
    </w:div>
    <w:div w:id="1691375249">
      <w:bodyDiv w:val="1"/>
      <w:marLeft w:val="0"/>
      <w:marRight w:val="0"/>
      <w:marTop w:val="0"/>
      <w:marBottom w:val="0"/>
      <w:divBdr>
        <w:top w:val="none" w:sz="0" w:space="0" w:color="auto"/>
        <w:left w:val="none" w:sz="0" w:space="0" w:color="auto"/>
        <w:bottom w:val="none" w:sz="0" w:space="0" w:color="auto"/>
        <w:right w:val="none" w:sz="0" w:space="0" w:color="auto"/>
      </w:divBdr>
    </w:div>
    <w:div w:id="1693414851">
      <w:bodyDiv w:val="1"/>
      <w:marLeft w:val="0"/>
      <w:marRight w:val="0"/>
      <w:marTop w:val="0"/>
      <w:marBottom w:val="0"/>
      <w:divBdr>
        <w:top w:val="none" w:sz="0" w:space="0" w:color="auto"/>
        <w:left w:val="none" w:sz="0" w:space="0" w:color="auto"/>
        <w:bottom w:val="none" w:sz="0" w:space="0" w:color="auto"/>
        <w:right w:val="none" w:sz="0" w:space="0" w:color="auto"/>
      </w:divBdr>
    </w:div>
    <w:div w:id="1696491872">
      <w:bodyDiv w:val="1"/>
      <w:marLeft w:val="0"/>
      <w:marRight w:val="0"/>
      <w:marTop w:val="0"/>
      <w:marBottom w:val="0"/>
      <w:divBdr>
        <w:top w:val="none" w:sz="0" w:space="0" w:color="auto"/>
        <w:left w:val="none" w:sz="0" w:space="0" w:color="auto"/>
        <w:bottom w:val="none" w:sz="0" w:space="0" w:color="auto"/>
        <w:right w:val="none" w:sz="0" w:space="0" w:color="auto"/>
      </w:divBdr>
    </w:div>
    <w:div w:id="1697776202">
      <w:bodyDiv w:val="1"/>
      <w:marLeft w:val="0"/>
      <w:marRight w:val="0"/>
      <w:marTop w:val="0"/>
      <w:marBottom w:val="0"/>
      <w:divBdr>
        <w:top w:val="none" w:sz="0" w:space="0" w:color="auto"/>
        <w:left w:val="none" w:sz="0" w:space="0" w:color="auto"/>
        <w:bottom w:val="none" w:sz="0" w:space="0" w:color="auto"/>
        <w:right w:val="none" w:sz="0" w:space="0" w:color="auto"/>
      </w:divBdr>
    </w:div>
    <w:div w:id="1710452307">
      <w:bodyDiv w:val="1"/>
      <w:marLeft w:val="0"/>
      <w:marRight w:val="0"/>
      <w:marTop w:val="0"/>
      <w:marBottom w:val="0"/>
      <w:divBdr>
        <w:top w:val="none" w:sz="0" w:space="0" w:color="auto"/>
        <w:left w:val="none" w:sz="0" w:space="0" w:color="auto"/>
        <w:bottom w:val="none" w:sz="0" w:space="0" w:color="auto"/>
        <w:right w:val="none" w:sz="0" w:space="0" w:color="auto"/>
      </w:divBdr>
    </w:div>
    <w:div w:id="1734039387">
      <w:bodyDiv w:val="1"/>
      <w:marLeft w:val="0"/>
      <w:marRight w:val="0"/>
      <w:marTop w:val="0"/>
      <w:marBottom w:val="0"/>
      <w:divBdr>
        <w:top w:val="none" w:sz="0" w:space="0" w:color="auto"/>
        <w:left w:val="none" w:sz="0" w:space="0" w:color="auto"/>
        <w:bottom w:val="none" w:sz="0" w:space="0" w:color="auto"/>
        <w:right w:val="none" w:sz="0" w:space="0" w:color="auto"/>
      </w:divBdr>
    </w:div>
    <w:div w:id="1737819745">
      <w:bodyDiv w:val="1"/>
      <w:marLeft w:val="0"/>
      <w:marRight w:val="0"/>
      <w:marTop w:val="0"/>
      <w:marBottom w:val="0"/>
      <w:divBdr>
        <w:top w:val="none" w:sz="0" w:space="0" w:color="auto"/>
        <w:left w:val="none" w:sz="0" w:space="0" w:color="auto"/>
        <w:bottom w:val="none" w:sz="0" w:space="0" w:color="auto"/>
        <w:right w:val="none" w:sz="0" w:space="0" w:color="auto"/>
      </w:divBdr>
    </w:div>
    <w:div w:id="1747800329">
      <w:bodyDiv w:val="1"/>
      <w:marLeft w:val="0"/>
      <w:marRight w:val="0"/>
      <w:marTop w:val="0"/>
      <w:marBottom w:val="0"/>
      <w:divBdr>
        <w:top w:val="none" w:sz="0" w:space="0" w:color="auto"/>
        <w:left w:val="none" w:sz="0" w:space="0" w:color="auto"/>
        <w:bottom w:val="none" w:sz="0" w:space="0" w:color="auto"/>
        <w:right w:val="none" w:sz="0" w:space="0" w:color="auto"/>
      </w:divBdr>
    </w:div>
    <w:div w:id="1765110097">
      <w:bodyDiv w:val="1"/>
      <w:marLeft w:val="0"/>
      <w:marRight w:val="0"/>
      <w:marTop w:val="0"/>
      <w:marBottom w:val="0"/>
      <w:divBdr>
        <w:top w:val="none" w:sz="0" w:space="0" w:color="auto"/>
        <w:left w:val="none" w:sz="0" w:space="0" w:color="auto"/>
        <w:bottom w:val="none" w:sz="0" w:space="0" w:color="auto"/>
        <w:right w:val="none" w:sz="0" w:space="0" w:color="auto"/>
      </w:divBdr>
    </w:div>
    <w:div w:id="1787693073">
      <w:bodyDiv w:val="1"/>
      <w:marLeft w:val="0"/>
      <w:marRight w:val="0"/>
      <w:marTop w:val="0"/>
      <w:marBottom w:val="0"/>
      <w:divBdr>
        <w:top w:val="none" w:sz="0" w:space="0" w:color="auto"/>
        <w:left w:val="none" w:sz="0" w:space="0" w:color="auto"/>
        <w:bottom w:val="none" w:sz="0" w:space="0" w:color="auto"/>
        <w:right w:val="none" w:sz="0" w:space="0" w:color="auto"/>
      </w:divBdr>
    </w:div>
    <w:div w:id="1787700880">
      <w:bodyDiv w:val="1"/>
      <w:marLeft w:val="0"/>
      <w:marRight w:val="0"/>
      <w:marTop w:val="0"/>
      <w:marBottom w:val="0"/>
      <w:divBdr>
        <w:top w:val="none" w:sz="0" w:space="0" w:color="auto"/>
        <w:left w:val="none" w:sz="0" w:space="0" w:color="auto"/>
        <w:bottom w:val="none" w:sz="0" w:space="0" w:color="auto"/>
        <w:right w:val="none" w:sz="0" w:space="0" w:color="auto"/>
      </w:divBdr>
    </w:div>
    <w:div w:id="1788507215">
      <w:bodyDiv w:val="1"/>
      <w:marLeft w:val="0"/>
      <w:marRight w:val="0"/>
      <w:marTop w:val="0"/>
      <w:marBottom w:val="0"/>
      <w:divBdr>
        <w:top w:val="none" w:sz="0" w:space="0" w:color="auto"/>
        <w:left w:val="none" w:sz="0" w:space="0" w:color="auto"/>
        <w:bottom w:val="none" w:sz="0" w:space="0" w:color="auto"/>
        <w:right w:val="none" w:sz="0" w:space="0" w:color="auto"/>
      </w:divBdr>
    </w:div>
    <w:div w:id="1790978154">
      <w:bodyDiv w:val="1"/>
      <w:marLeft w:val="0"/>
      <w:marRight w:val="0"/>
      <w:marTop w:val="0"/>
      <w:marBottom w:val="0"/>
      <w:divBdr>
        <w:top w:val="none" w:sz="0" w:space="0" w:color="auto"/>
        <w:left w:val="none" w:sz="0" w:space="0" w:color="auto"/>
        <w:bottom w:val="none" w:sz="0" w:space="0" w:color="auto"/>
        <w:right w:val="none" w:sz="0" w:space="0" w:color="auto"/>
      </w:divBdr>
    </w:div>
    <w:div w:id="1800302339">
      <w:bodyDiv w:val="1"/>
      <w:marLeft w:val="0"/>
      <w:marRight w:val="0"/>
      <w:marTop w:val="0"/>
      <w:marBottom w:val="0"/>
      <w:divBdr>
        <w:top w:val="none" w:sz="0" w:space="0" w:color="auto"/>
        <w:left w:val="none" w:sz="0" w:space="0" w:color="auto"/>
        <w:bottom w:val="none" w:sz="0" w:space="0" w:color="auto"/>
        <w:right w:val="none" w:sz="0" w:space="0" w:color="auto"/>
      </w:divBdr>
    </w:div>
    <w:div w:id="1802724571">
      <w:bodyDiv w:val="1"/>
      <w:marLeft w:val="0"/>
      <w:marRight w:val="0"/>
      <w:marTop w:val="0"/>
      <w:marBottom w:val="0"/>
      <w:divBdr>
        <w:top w:val="none" w:sz="0" w:space="0" w:color="auto"/>
        <w:left w:val="none" w:sz="0" w:space="0" w:color="auto"/>
        <w:bottom w:val="none" w:sz="0" w:space="0" w:color="auto"/>
        <w:right w:val="none" w:sz="0" w:space="0" w:color="auto"/>
      </w:divBdr>
    </w:div>
    <w:div w:id="1810240282">
      <w:bodyDiv w:val="1"/>
      <w:marLeft w:val="0"/>
      <w:marRight w:val="0"/>
      <w:marTop w:val="0"/>
      <w:marBottom w:val="0"/>
      <w:divBdr>
        <w:top w:val="none" w:sz="0" w:space="0" w:color="auto"/>
        <w:left w:val="none" w:sz="0" w:space="0" w:color="auto"/>
        <w:bottom w:val="none" w:sz="0" w:space="0" w:color="auto"/>
        <w:right w:val="none" w:sz="0" w:space="0" w:color="auto"/>
      </w:divBdr>
    </w:div>
    <w:div w:id="1810779549">
      <w:bodyDiv w:val="1"/>
      <w:marLeft w:val="0"/>
      <w:marRight w:val="0"/>
      <w:marTop w:val="0"/>
      <w:marBottom w:val="0"/>
      <w:divBdr>
        <w:top w:val="none" w:sz="0" w:space="0" w:color="auto"/>
        <w:left w:val="none" w:sz="0" w:space="0" w:color="auto"/>
        <w:bottom w:val="none" w:sz="0" w:space="0" w:color="auto"/>
        <w:right w:val="none" w:sz="0" w:space="0" w:color="auto"/>
      </w:divBdr>
    </w:div>
    <w:div w:id="1831287736">
      <w:bodyDiv w:val="1"/>
      <w:marLeft w:val="0"/>
      <w:marRight w:val="0"/>
      <w:marTop w:val="0"/>
      <w:marBottom w:val="0"/>
      <w:divBdr>
        <w:top w:val="none" w:sz="0" w:space="0" w:color="auto"/>
        <w:left w:val="none" w:sz="0" w:space="0" w:color="auto"/>
        <w:bottom w:val="none" w:sz="0" w:space="0" w:color="auto"/>
        <w:right w:val="none" w:sz="0" w:space="0" w:color="auto"/>
      </w:divBdr>
    </w:div>
    <w:div w:id="1862280704">
      <w:bodyDiv w:val="1"/>
      <w:marLeft w:val="0"/>
      <w:marRight w:val="0"/>
      <w:marTop w:val="0"/>
      <w:marBottom w:val="0"/>
      <w:divBdr>
        <w:top w:val="none" w:sz="0" w:space="0" w:color="auto"/>
        <w:left w:val="none" w:sz="0" w:space="0" w:color="auto"/>
        <w:bottom w:val="none" w:sz="0" w:space="0" w:color="auto"/>
        <w:right w:val="none" w:sz="0" w:space="0" w:color="auto"/>
      </w:divBdr>
    </w:div>
    <w:div w:id="1875844091">
      <w:bodyDiv w:val="1"/>
      <w:marLeft w:val="0"/>
      <w:marRight w:val="0"/>
      <w:marTop w:val="0"/>
      <w:marBottom w:val="0"/>
      <w:divBdr>
        <w:top w:val="none" w:sz="0" w:space="0" w:color="auto"/>
        <w:left w:val="none" w:sz="0" w:space="0" w:color="auto"/>
        <w:bottom w:val="none" w:sz="0" w:space="0" w:color="auto"/>
        <w:right w:val="none" w:sz="0" w:space="0" w:color="auto"/>
      </w:divBdr>
    </w:div>
    <w:div w:id="1877228701">
      <w:bodyDiv w:val="1"/>
      <w:marLeft w:val="0"/>
      <w:marRight w:val="0"/>
      <w:marTop w:val="0"/>
      <w:marBottom w:val="0"/>
      <w:divBdr>
        <w:top w:val="none" w:sz="0" w:space="0" w:color="auto"/>
        <w:left w:val="none" w:sz="0" w:space="0" w:color="auto"/>
        <w:bottom w:val="none" w:sz="0" w:space="0" w:color="auto"/>
        <w:right w:val="none" w:sz="0" w:space="0" w:color="auto"/>
      </w:divBdr>
    </w:div>
    <w:div w:id="1887138853">
      <w:bodyDiv w:val="1"/>
      <w:marLeft w:val="0"/>
      <w:marRight w:val="0"/>
      <w:marTop w:val="0"/>
      <w:marBottom w:val="0"/>
      <w:divBdr>
        <w:top w:val="none" w:sz="0" w:space="0" w:color="auto"/>
        <w:left w:val="none" w:sz="0" w:space="0" w:color="auto"/>
        <w:bottom w:val="none" w:sz="0" w:space="0" w:color="auto"/>
        <w:right w:val="none" w:sz="0" w:space="0" w:color="auto"/>
      </w:divBdr>
    </w:div>
    <w:div w:id="1895579990">
      <w:bodyDiv w:val="1"/>
      <w:marLeft w:val="0"/>
      <w:marRight w:val="0"/>
      <w:marTop w:val="0"/>
      <w:marBottom w:val="0"/>
      <w:divBdr>
        <w:top w:val="none" w:sz="0" w:space="0" w:color="auto"/>
        <w:left w:val="none" w:sz="0" w:space="0" w:color="auto"/>
        <w:bottom w:val="none" w:sz="0" w:space="0" w:color="auto"/>
        <w:right w:val="none" w:sz="0" w:space="0" w:color="auto"/>
      </w:divBdr>
    </w:div>
    <w:div w:id="1896772435">
      <w:bodyDiv w:val="1"/>
      <w:marLeft w:val="0"/>
      <w:marRight w:val="0"/>
      <w:marTop w:val="0"/>
      <w:marBottom w:val="0"/>
      <w:divBdr>
        <w:top w:val="none" w:sz="0" w:space="0" w:color="auto"/>
        <w:left w:val="none" w:sz="0" w:space="0" w:color="auto"/>
        <w:bottom w:val="none" w:sz="0" w:space="0" w:color="auto"/>
        <w:right w:val="none" w:sz="0" w:space="0" w:color="auto"/>
      </w:divBdr>
    </w:div>
    <w:div w:id="1913351041">
      <w:bodyDiv w:val="1"/>
      <w:marLeft w:val="0"/>
      <w:marRight w:val="0"/>
      <w:marTop w:val="0"/>
      <w:marBottom w:val="0"/>
      <w:divBdr>
        <w:top w:val="none" w:sz="0" w:space="0" w:color="auto"/>
        <w:left w:val="none" w:sz="0" w:space="0" w:color="auto"/>
        <w:bottom w:val="none" w:sz="0" w:space="0" w:color="auto"/>
        <w:right w:val="none" w:sz="0" w:space="0" w:color="auto"/>
      </w:divBdr>
    </w:div>
    <w:div w:id="1914318595">
      <w:bodyDiv w:val="1"/>
      <w:marLeft w:val="0"/>
      <w:marRight w:val="0"/>
      <w:marTop w:val="0"/>
      <w:marBottom w:val="0"/>
      <w:divBdr>
        <w:top w:val="none" w:sz="0" w:space="0" w:color="auto"/>
        <w:left w:val="none" w:sz="0" w:space="0" w:color="auto"/>
        <w:bottom w:val="none" w:sz="0" w:space="0" w:color="auto"/>
        <w:right w:val="none" w:sz="0" w:space="0" w:color="auto"/>
      </w:divBdr>
    </w:div>
    <w:div w:id="1916089751">
      <w:bodyDiv w:val="1"/>
      <w:marLeft w:val="0"/>
      <w:marRight w:val="0"/>
      <w:marTop w:val="0"/>
      <w:marBottom w:val="0"/>
      <w:divBdr>
        <w:top w:val="none" w:sz="0" w:space="0" w:color="auto"/>
        <w:left w:val="none" w:sz="0" w:space="0" w:color="auto"/>
        <w:bottom w:val="none" w:sz="0" w:space="0" w:color="auto"/>
        <w:right w:val="none" w:sz="0" w:space="0" w:color="auto"/>
      </w:divBdr>
    </w:div>
    <w:div w:id="1924993731">
      <w:bodyDiv w:val="1"/>
      <w:marLeft w:val="0"/>
      <w:marRight w:val="0"/>
      <w:marTop w:val="0"/>
      <w:marBottom w:val="0"/>
      <w:divBdr>
        <w:top w:val="none" w:sz="0" w:space="0" w:color="auto"/>
        <w:left w:val="none" w:sz="0" w:space="0" w:color="auto"/>
        <w:bottom w:val="none" w:sz="0" w:space="0" w:color="auto"/>
        <w:right w:val="none" w:sz="0" w:space="0" w:color="auto"/>
      </w:divBdr>
    </w:div>
    <w:div w:id="1933202576">
      <w:bodyDiv w:val="1"/>
      <w:marLeft w:val="0"/>
      <w:marRight w:val="0"/>
      <w:marTop w:val="0"/>
      <w:marBottom w:val="0"/>
      <w:divBdr>
        <w:top w:val="none" w:sz="0" w:space="0" w:color="auto"/>
        <w:left w:val="none" w:sz="0" w:space="0" w:color="auto"/>
        <w:bottom w:val="none" w:sz="0" w:space="0" w:color="auto"/>
        <w:right w:val="none" w:sz="0" w:space="0" w:color="auto"/>
      </w:divBdr>
    </w:div>
    <w:div w:id="1937441581">
      <w:bodyDiv w:val="1"/>
      <w:marLeft w:val="0"/>
      <w:marRight w:val="0"/>
      <w:marTop w:val="0"/>
      <w:marBottom w:val="0"/>
      <w:divBdr>
        <w:top w:val="none" w:sz="0" w:space="0" w:color="auto"/>
        <w:left w:val="none" w:sz="0" w:space="0" w:color="auto"/>
        <w:bottom w:val="none" w:sz="0" w:space="0" w:color="auto"/>
        <w:right w:val="none" w:sz="0" w:space="0" w:color="auto"/>
      </w:divBdr>
    </w:div>
    <w:div w:id="1962687052">
      <w:bodyDiv w:val="1"/>
      <w:marLeft w:val="0"/>
      <w:marRight w:val="0"/>
      <w:marTop w:val="0"/>
      <w:marBottom w:val="0"/>
      <w:divBdr>
        <w:top w:val="none" w:sz="0" w:space="0" w:color="auto"/>
        <w:left w:val="none" w:sz="0" w:space="0" w:color="auto"/>
        <w:bottom w:val="none" w:sz="0" w:space="0" w:color="auto"/>
        <w:right w:val="none" w:sz="0" w:space="0" w:color="auto"/>
      </w:divBdr>
    </w:div>
    <w:div w:id="1967344984">
      <w:bodyDiv w:val="1"/>
      <w:marLeft w:val="0"/>
      <w:marRight w:val="0"/>
      <w:marTop w:val="0"/>
      <w:marBottom w:val="0"/>
      <w:divBdr>
        <w:top w:val="none" w:sz="0" w:space="0" w:color="auto"/>
        <w:left w:val="none" w:sz="0" w:space="0" w:color="auto"/>
        <w:bottom w:val="none" w:sz="0" w:space="0" w:color="auto"/>
        <w:right w:val="none" w:sz="0" w:space="0" w:color="auto"/>
      </w:divBdr>
    </w:div>
    <w:div w:id="1970816797">
      <w:bodyDiv w:val="1"/>
      <w:marLeft w:val="0"/>
      <w:marRight w:val="0"/>
      <w:marTop w:val="0"/>
      <w:marBottom w:val="0"/>
      <w:divBdr>
        <w:top w:val="none" w:sz="0" w:space="0" w:color="auto"/>
        <w:left w:val="none" w:sz="0" w:space="0" w:color="auto"/>
        <w:bottom w:val="none" w:sz="0" w:space="0" w:color="auto"/>
        <w:right w:val="none" w:sz="0" w:space="0" w:color="auto"/>
      </w:divBdr>
    </w:div>
    <w:div w:id="1990475785">
      <w:bodyDiv w:val="1"/>
      <w:marLeft w:val="0"/>
      <w:marRight w:val="0"/>
      <w:marTop w:val="0"/>
      <w:marBottom w:val="0"/>
      <w:divBdr>
        <w:top w:val="none" w:sz="0" w:space="0" w:color="auto"/>
        <w:left w:val="none" w:sz="0" w:space="0" w:color="auto"/>
        <w:bottom w:val="none" w:sz="0" w:space="0" w:color="auto"/>
        <w:right w:val="none" w:sz="0" w:space="0" w:color="auto"/>
      </w:divBdr>
    </w:div>
    <w:div w:id="1992053884">
      <w:bodyDiv w:val="1"/>
      <w:marLeft w:val="0"/>
      <w:marRight w:val="0"/>
      <w:marTop w:val="0"/>
      <w:marBottom w:val="0"/>
      <w:divBdr>
        <w:top w:val="none" w:sz="0" w:space="0" w:color="auto"/>
        <w:left w:val="none" w:sz="0" w:space="0" w:color="auto"/>
        <w:bottom w:val="none" w:sz="0" w:space="0" w:color="auto"/>
        <w:right w:val="none" w:sz="0" w:space="0" w:color="auto"/>
      </w:divBdr>
    </w:div>
    <w:div w:id="1992514821">
      <w:bodyDiv w:val="1"/>
      <w:marLeft w:val="0"/>
      <w:marRight w:val="0"/>
      <w:marTop w:val="0"/>
      <w:marBottom w:val="0"/>
      <w:divBdr>
        <w:top w:val="none" w:sz="0" w:space="0" w:color="auto"/>
        <w:left w:val="none" w:sz="0" w:space="0" w:color="auto"/>
        <w:bottom w:val="none" w:sz="0" w:space="0" w:color="auto"/>
        <w:right w:val="none" w:sz="0" w:space="0" w:color="auto"/>
      </w:divBdr>
    </w:div>
    <w:div w:id="1997952031">
      <w:bodyDiv w:val="1"/>
      <w:marLeft w:val="0"/>
      <w:marRight w:val="0"/>
      <w:marTop w:val="0"/>
      <w:marBottom w:val="0"/>
      <w:divBdr>
        <w:top w:val="none" w:sz="0" w:space="0" w:color="auto"/>
        <w:left w:val="none" w:sz="0" w:space="0" w:color="auto"/>
        <w:bottom w:val="none" w:sz="0" w:space="0" w:color="auto"/>
        <w:right w:val="none" w:sz="0" w:space="0" w:color="auto"/>
      </w:divBdr>
    </w:div>
    <w:div w:id="2023046622">
      <w:bodyDiv w:val="1"/>
      <w:marLeft w:val="0"/>
      <w:marRight w:val="0"/>
      <w:marTop w:val="0"/>
      <w:marBottom w:val="0"/>
      <w:divBdr>
        <w:top w:val="none" w:sz="0" w:space="0" w:color="auto"/>
        <w:left w:val="none" w:sz="0" w:space="0" w:color="auto"/>
        <w:bottom w:val="none" w:sz="0" w:space="0" w:color="auto"/>
        <w:right w:val="none" w:sz="0" w:space="0" w:color="auto"/>
      </w:divBdr>
    </w:div>
    <w:div w:id="2035572017">
      <w:bodyDiv w:val="1"/>
      <w:marLeft w:val="0"/>
      <w:marRight w:val="0"/>
      <w:marTop w:val="0"/>
      <w:marBottom w:val="0"/>
      <w:divBdr>
        <w:top w:val="none" w:sz="0" w:space="0" w:color="auto"/>
        <w:left w:val="none" w:sz="0" w:space="0" w:color="auto"/>
        <w:bottom w:val="none" w:sz="0" w:space="0" w:color="auto"/>
        <w:right w:val="none" w:sz="0" w:space="0" w:color="auto"/>
      </w:divBdr>
    </w:div>
    <w:div w:id="2043359268">
      <w:bodyDiv w:val="1"/>
      <w:marLeft w:val="0"/>
      <w:marRight w:val="0"/>
      <w:marTop w:val="0"/>
      <w:marBottom w:val="0"/>
      <w:divBdr>
        <w:top w:val="none" w:sz="0" w:space="0" w:color="auto"/>
        <w:left w:val="none" w:sz="0" w:space="0" w:color="auto"/>
        <w:bottom w:val="none" w:sz="0" w:space="0" w:color="auto"/>
        <w:right w:val="none" w:sz="0" w:space="0" w:color="auto"/>
      </w:divBdr>
    </w:div>
    <w:div w:id="2060856524">
      <w:bodyDiv w:val="1"/>
      <w:marLeft w:val="0"/>
      <w:marRight w:val="0"/>
      <w:marTop w:val="0"/>
      <w:marBottom w:val="0"/>
      <w:divBdr>
        <w:top w:val="none" w:sz="0" w:space="0" w:color="auto"/>
        <w:left w:val="none" w:sz="0" w:space="0" w:color="auto"/>
        <w:bottom w:val="none" w:sz="0" w:space="0" w:color="auto"/>
        <w:right w:val="none" w:sz="0" w:space="0" w:color="auto"/>
      </w:divBdr>
    </w:div>
    <w:div w:id="2070882841">
      <w:bodyDiv w:val="1"/>
      <w:marLeft w:val="0"/>
      <w:marRight w:val="0"/>
      <w:marTop w:val="0"/>
      <w:marBottom w:val="0"/>
      <w:divBdr>
        <w:top w:val="none" w:sz="0" w:space="0" w:color="auto"/>
        <w:left w:val="none" w:sz="0" w:space="0" w:color="auto"/>
        <w:bottom w:val="none" w:sz="0" w:space="0" w:color="auto"/>
        <w:right w:val="none" w:sz="0" w:space="0" w:color="auto"/>
      </w:divBdr>
    </w:div>
    <w:div w:id="2084837445">
      <w:bodyDiv w:val="1"/>
      <w:marLeft w:val="0"/>
      <w:marRight w:val="0"/>
      <w:marTop w:val="0"/>
      <w:marBottom w:val="0"/>
      <w:divBdr>
        <w:top w:val="none" w:sz="0" w:space="0" w:color="auto"/>
        <w:left w:val="none" w:sz="0" w:space="0" w:color="auto"/>
        <w:bottom w:val="none" w:sz="0" w:space="0" w:color="auto"/>
        <w:right w:val="none" w:sz="0" w:space="0" w:color="auto"/>
      </w:divBdr>
    </w:div>
    <w:div w:id="2084913430">
      <w:bodyDiv w:val="1"/>
      <w:marLeft w:val="0"/>
      <w:marRight w:val="0"/>
      <w:marTop w:val="0"/>
      <w:marBottom w:val="0"/>
      <w:divBdr>
        <w:top w:val="none" w:sz="0" w:space="0" w:color="auto"/>
        <w:left w:val="none" w:sz="0" w:space="0" w:color="auto"/>
        <w:bottom w:val="none" w:sz="0" w:space="0" w:color="auto"/>
        <w:right w:val="none" w:sz="0" w:space="0" w:color="auto"/>
      </w:divBdr>
    </w:div>
    <w:div w:id="2109932712">
      <w:bodyDiv w:val="1"/>
      <w:marLeft w:val="0"/>
      <w:marRight w:val="0"/>
      <w:marTop w:val="0"/>
      <w:marBottom w:val="0"/>
      <w:divBdr>
        <w:top w:val="none" w:sz="0" w:space="0" w:color="auto"/>
        <w:left w:val="none" w:sz="0" w:space="0" w:color="auto"/>
        <w:bottom w:val="none" w:sz="0" w:space="0" w:color="auto"/>
        <w:right w:val="none" w:sz="0" w:space="0" w:color="auto"/>
      </w:divBdr>
    </w:div>
    <w:div w:id="2115708826">
      <w:bodyDiv w:val="1"/>
      <w:marLeft w:val="0"/>
      <w:marRight w:val="0"/>
      <w:marTop w:val="0"/>
      <w:marBottom w:val="0"/>
      <w:divBdr>
        <w:top w:val="none" w:sz="0" w:space="0" w:color="auto"/>
        <w:left w:val="none" w:sz="0" w:space="0" w:color="auto"/>
        <w:bottom w:val="none" w:sz="0" w:space="0" w:color="auto"/>
        <w:right w:val="none" w:sz="0" w:space="0" w:color="auto"/>
      </w:divBdr>
    </w:div>
    <w:div w:id="2132556491">
      <w:bodyDiv w:val="1"/>
      <w:marLeft w:val="0"/>
      <w:marRight w:val="0"/>
      <w:marTop w:val="0"/>
      <w:marBottom w:val="0"/>
      <w:divBdr>
        <w:top w:val="none" w:sz="0" w:space="0" w:color="auto"/>
        <w:left w:val="none" w:sz="0" w:space="0" w:color="auto"/>
        <w:bottom w:val="none" w:sz="0" w:space="0" w:color="auto"/>
        <w:right w:val="none" w:sz="0" w:space="0" w:color="auto"/>
      </w:divBdr>
    </w:div>
    <w:div w:id="214658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890C2-E245-4900-B7F5-EF3DF71FD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3.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188</TotalTime>
  <Pages>11</Pages>
  <Words>2965</Words>
  <Characters>24017</Characters>
  <Application>Microsoft Office Word</Application>
  <DocSecurity>0</DocSecurity>
  <Lines>200</Lines>
  <Paragraphs>53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26929</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Pasi Laitinen</dc:creator>
  <dc:description/>
  <cp:lastModifiedBy>MediaTek (Pasi)</cp:lastModifiedBy>
  <cp:revision>41</cp:revision>
  <cp:lastPrinted>2008-01-31T07:09:00Z</cp:lastPrinted>
  <dcterms:created xsi:type="dcterms:W3CDTF">2025-11-05T09:03:00Z</dcterms:created>
  <dcterms:modified xsi:type="dcterms:W3CDTF">2025-11-07T06:20:00Z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